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0D5074B6"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D338E1">
        <w:rPr>
          <w:rFonts w:cs="Courier New"/>
          <w:sz w:val="24"/>
          <w:szCs w:val="24"/>
          <w:lang w:val="de-DE"/>
        </w:rPr>
        <w:t>7</w:t>
      </w:r>
      <w:r w:rsidR="004E6A15">
        <w:rPr>
          <w:rFonts w:cs="Courier New"/>
          <w:sz w:val="24"/>
          <w:szCs w:val="24"/>
          <w:lang w:val="de-DE"/>
        </w:rPr>
        <w:tab/>
      </w:r>
      <w:r w:rsidR="004813E4" w:rsidRPr="004813E4">
        <w:rPr>
          <w:rFonts w:cs="Courier New"/>
          <w:sz w:val="24"/>
          <w:szCs w:val="24"/>
          <w:lang w:val="de-DE"/>
        </w:rPr>
        <w:t>R4-1807656</w:t>
      </w:r>
    </w:p>
    <w:p w14:paraId="2DC4E95A" w14:textId="005E2AC9" w:rsidR="009C1F3F" w:rsidRDefault="00D338E1" w:rsidP="00AC033F">
      <w:pPr>
        <w:pStyle w:val="Header"/>
        <w:jc w:val="both"/>
        <w:rPr>
          <w:rFonts w:cs="Courier New"/>
          <w:sz w:val="24"/>
          <w:szCs w:val="24"/>
        </w:rPr>
      </w:pPr>
      <w:r>
        <w:rPr>
          <w:rFonts w:cs="Courier New"/>
          <w:sz w:val="24"/>
          <w:szCs w:val="24"/>
        </w:rPr>
        <w:t>Busan</w:t>
      </w:r>
      <w:r w:rsidR="007E700B">
        <w:rPr>
          <w:rFonts w:cs="Courier New"/>
          <w:sz w:val="24"/>
          <w:szCs w:val="24"/>
        </w:rPr>
        <w:t xml:space="preserve">, </w:t>
      </w:r>
      <w:r>
        <w:rPr>
          <w:rFonts w:cs="Courier New"/>
          <w:sz w:val="24"/>
          <w:szCs w:val="24"/>
        </w:rPr>
        <w:t>KR</w:t>
      </w:r>
      <w:r w:rsidR="007E700B">
        <w:rPr>
          <w:rFonts w:cs="Courier New"/>
          <w:sz w:val="24"/>
          <w:szCs w:val="24"/>
        </w:rPr>
        <w:t>,</w:t>
      </w:r>
      <w:r w:rsidR="007E700B" w:rsidRPr="00BB2C23">
        <w:rPr>
          <w:rFonts w:cs="Courier New"/>
          <w:sz w:val="24"/>
          <w:szCs w:val="24"/>
        </w:rPr>
        <w:t xml:space="preserve"> </w:t>
      </w:r>
      <w:r>
        <w:rPr>
          <w:rFonts w:cs="Courier New"/>
          <w:sz w:val="24"/>
          <w:szCs w:val="24"/>
        </w:rPr>
        <w:t>May</w:t>
      </w:r>
      <w:r w:rsidR="007E700B">
        <w:rPr>
          <w:rFonts w:cs="Courier New"/>
          <w:sz w:val="24"/>
          <w:szCs w:val="24"/>
        </w:rPr>
        <w:t xml:space="preserve"> </w:t>
      </w:r>
      <w:r>
        <w:rPr>
          <w:rFonts w:cs="Courier New"/>
          <w:sz w:val="24"/>
          <w:szCs w:val="24"/>
        </w:rPr>
        <w:t>21</w:t>
      </w:r>
      <w:r w:rsidRPr="00D338E1">
        <w:rPr>
          <w:rFonts w:cs="Courier New"/>
          <w:sz w:val="24"/>
          <w:szCs w:val="24"/>
          <w:vertAlign w:val="superscript"/>
        </w:rPr>
        <w:t>st</w:t>
      </w:r>
      <w:r>
        <w:rPr>
          <w:rFonts w:cs="Courier New"/>
          <w:sz w:val="24"/>
          <w:szCs w:val="24"/>
        </w:rPr>
        <w:t xml:space="preserve"> </w:t>
      </w:r>
      <w:r w:rsidR="007E700B" w:rsidRPr="00DB3907">
        <w:rPr>
          <w:rFonts w:cs="Courier New"/>
          <w:sz w:val="24"/>
          <w:szCs w:val="24"/>
        </w:rPr>
        <w:t xml:space="preserve">– </w:t>
      </w:r>
      <w:r w:rsidR="007E700B">
        <w:rPr>
          <w:rFonts w:cs="Courier New"/>
          <w:sz w:val="24"/>
          <w:szCs w:val="24"/>
        </w:rPr>
        <w:t>2</w:t>
      </w:r>
      <w:r>
        <w:rPr>
          <w:rFonts w:cs="Courier New"/>
          <w:sz w:val="24"/>
          <w:szCs w:val="24"/>
        </w:rPr>
        <w:t>5</w:t>
      </w:r>
      <w:r w:rsidR="007E700B" w:rsidRPr="00F134A6">
        <w:rPr>
          <w:rFonts w:cs="Courier New"/>
          <w:sz w:val="24"/>
          <w:szCs w:val="24"/>
          <w:vertAlign w:val="superscript"/>
        </w:rPr>
        <w:t>th</w:t>
      </w:r>
      <w:r w:rsidR="007E700B">
        <w:rPr>
          <w:rFonts w:cs="Courier New"/>
          <w:sz w:val="24"/>
          <w:szCs w:val="24"/>
        </w:rPr>
        <w:t>, 2018</w:t>
      </w:r>
    </w:p>
    <w:p w14:paraId="265D6182" w14:textId="77777777" w:rsidR="007E700B" w:rsidRPr="00F56E56" w:rsidRDefault="007E700B"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D7C179A" w:rsidR="00E43D4D" w:rsidRPr="00D23643" w:rsidRDefault="00E43D4D" w:rsidP="00AC033F">
      <w:pPr>
        <w:tabs>
          <w:tab w:val="left" w:pos="1985"/>
        </w:tabs>
        <w:jc w:val="both"/>
        <w:rPr>
          <w:rFonts w:ascii="Arial" w:hAnsi="Arial"/>
          <w:sz w:val="24"/>
          <w:lang w:val="en-US"/>
        </w:rPr>
      </w:pPr>
      <w:r w:rsidRPr="00D23643">
        <w:rPr>
          <w:rFonts w:ascii="Arial" w:hAnsi="Arial"/>
          <w:b/>
          <w:sz w:val="24"/>
          <w:lang w:val="en-US"/>
        </w:rPr>
        <w:t>Agenda item:</w:t>
      </w:r>
      <w:r w:rsidRPr="00D23643">
        <w:rPr>
          <w:rFonts w:ascii="Arial" w:hAnsi="Arial"/>
          <w:sz w:val="24"/>
          <w:lang w:val="en-US"/>
        </w:rPr>
        <w:tab/>
      </w:r>
      <w:r w:rsidR="006F54CF" w:rsidRPr="00D23643">
        <w:rPr>
          <w:rFonts w:ascii="Arial" w:hAnsi="Arial"/>
          <w:sz w:val="24"/>
          <w:lang w:val="en-US"/>
        </w:rPr>
        <w:t>7.5.8.11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0BA7399B"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5032F" w:rsidRPr="00A5032F">
        <w:rPr>
          <w:rFonts w:ascii="Arial" w:hAnsi="Arial"/>
          <w:sz w:val="24"/>
          <w:lang w:val="en-US"/>
        </w:rPr>
        <w:t>Definition of UE beam correspondence requirement for FR2</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F3524CB" w14:textId="00EA8950" w:rsidR="00B47DD5" w:rsidRDefault="002E2EE9" w:rsidP="00D85C68">
      <w:pPr>
        <w:jc w:val="both"/>
      </w:pPr>
      <w:r>
        <w:t xml:space="preserve">The UE </w:t>
      </w:r>
      <w:r w:rsidR="00B47DD5">
        <w:t>beam correspondence was extensively discussed in last RAN4 meetings</w:t>
      </w:r>
      <w:r w:rsidR="00545241">
        <w:t>.</w:t>
      </w:r>
      <w:r w:rsidR="00B47DD5">
        <w:t xml:space="preserve"> Although several proposals were made </w:t>
      </w:r>
      <w:r w:rsidR="0036551D">
        <w:t>on</w:t>
      </w:r>
      <w:r w:rsidR="000122B2">
        <w:t xml:space="preserve"> how</w:t>
      </w:r>
      <w:r w:rsidR="00B47DD5">
        <w:t xml:space="preserve"> to test the requirement, the requirement</w:t>
      </w:r>
      <w:r w:rsidR="00545241">
        <w:t xml:space="preserve"> </w:t>
      </w:r>
      <w:r w:rsidR="00B47DD5">
        <w:t>itself has not been defined yet in TS 38.101-2.</w:t>
      </w:r>
    </w:p>
    <w:p w14:paraId="3C503B00" w14:textId="2823AAC1" w:rsidR="00D85C68" w:rsidRPr="00A23B5A" w:rsidRDefault="00B47DD5" w:rsidP="00D85C68">
      <w:pPr>
        <w:jc w:val="both"/>
        <w:rPr>
          <w:b/>
        </w:rPr>
      </w:pPr>
      <w:r>
        <w:t xml:space="preserve">In this contribution we propose </w:t>
      </w:r>
      <w:r w:rsidR="003E40B7">
        <w:t>a definition of beam correspondence requirement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2B56CCC" w14:textId="564DF4FD" w:rsidR="00183F44" w:rsidRDefault="00B47DD5" w:rsidP="00A5032F">
      <w:pPr>
        <w:jc w:val="both"/>
        <w:rPr>
          <w:lang w:val="en-US"/>
        </w:rPr>
      </w:pPr>
      <w:r>
        <w:rPr>
          <w:lang w:val="en-US"/>
        </w:rPr>
        <w:t>The need of a beam correspondence</w:t>
      </w:r>
      <w:r w:rsidR="00183F44">
        <w:rPr>
          <w:lang w:val="en-US"/>
        </w:rPr>
        <w:t xml:space="preserve"> </w:t>
      </w:r>
      <w:r>
        <w:rPr>
          <w:lang w:val="en-US"/>
        </w:rPr>
        <w:t xml:space="preserve">requirement was originally brought up in the first RAN4 ad hoc meeting on NR </w:t>
      </w:r>
      <w:r>
        <w:rPr>
          <w:lang w:val="en-US"/>
        </w:rPr>
        <w:fldChar w:fldCharType="begin"/>
      </w:r>
      <w:r>
        <w:rPr>
          <w:lang w:val="en-US"/>
        </w:rPr>
        <w:instrText xml:space="preserve"> REF _Ref510694526 \r \h </w:instrText>
      </w:r>
      <w:r>
        <w:rPr>
          <w:lang w:val="en-US"/>
        </w:rPr>
      </w:r>
      <w:r>
        <w:rPr>
          <w:lang w:val="en-US"/>
        </w:rPr>
        <w:fldChar w:fldCharType="separate"/>
      </w:r>
      <w:r w:rsidR="0036551D">
        <w:rPr>
          <w:lang w:val="en-US"/>
        </w:rPr>
        <w:t>[1]</w:t>
      </w:r>
      <w:r>
        <w:rPr>
          <w:lang w:val="en-US"/>
        </w:rPr>
        <w:fldChar w:fldCharType="end"/>
      </w:r>
      <w:r>
        <w:rPr>
          <w:lang w:val="en-US"/>
        </w:rPr>
        <w:t xml:space="preserve">. </w:t>
      </w:r>
    </w:p>
    <w:p w14:paraId="74094449" w14:textId="640CE997" w:rsidR="00183F44" w:rsidRDefault="001F7671" w:rsidP="00A5032F">
      <w:pPr>
        <w:jc w:val="both"/>
        <w:rPr>
          <w:lang w:val="en-US"/>
        </w:rPr>
      </w:pPr>
      <w:r>
        <w:rPr>
          <w:lang w:val="en-US"/>
        </w:rPr>
        <w:t>UE T</w:t>
      </w:r>
      <w:r w:rsidR="00183F44">
        <w:rPr>
          <w:lang w:val="en-US"/>
        </w:rPr>
        <w:t>x/R</w:t>
      </w:r>
      <w:r>
        <w:rPr>
          <w:lang w:val="en-US"/>
        </w:rPr>
        <w:t>x</w:t>
      </w:r>
      <w:r w:rsidR="00183F44">
        <w:rPr>
          <w:lang w:val="en-US"/>
        </w:rPr>
        <w:t xml:space="preserve"> beam correspondence (or reciprocity)</w:t>
      </w:r>
      <w:r>
        <w:rPr>
          <w:lang w:val="en-US"/>
        </w:rPr>
        <w:t xml:space="preserve"> was defined in RAN1 as follows </w:t>
      </w:r>
      <w:r>
        <w:rPr>
          <w:lang w:val="en-US"/>
        </w:rPr>
        <w:fldChar w:fldCharType="begin"/>
      </w:r>
      <w:r>
        <w:rPr>
          <w:lang w:val="en-US"/>
        </w:rPr>
        <w:instrText xml:space="preserve"> REF _Ref510695498 \r \h </w:instrText>
      </w:r>
      <w:r>
        <w:rPr>
          <w:lang w:val="en-US"/>
        </w:rPr>
      </w:r>
      <w:r>
        <w:rPr>
          <w:lang w:val="en-US"/>
        </w:rPr>
        <w:fldChar w:fldCharType="separate"/>
      </w:r>
      <w:r w:rsidR="0036551D">
        <w:rPr>
          <w:lang w:val="en-US"/>
        </w:rPr>
        <w:t>[2]</w:t>
      </w:r>
      <w:r>
        <w:rPr>
          <w:lang w:val="en-US"/>
        </w:rPr>
        <w:fldChar w:fldCharType="end"/>
      </w:r>
      <w:r>
        <w:rPr>
          <w:lang w:val="en-US"/>
        </w:rPr>
        <w:t>:</w:t>
      </w:r>
    </w:p>
    <w:p w14:paraId="021360CD" w14:textId="77777777" w:rsidR="007D5462" w:rsidRPr="001F7671" w:rsidRDefault="008E2C91" w:rsidP="001F7671">
      <w:pPr>
        <w:numPr>
          <w:ilvl w:val="0"/>
          <w:numId w:val="43"/>
        </w:numPr>
        <w:jc w:val="both"/>
        <w:rPr>
          <w:lang w:val="en-US"/>
        </w:rPr>
      </w:pPr>
      <w:r w:rsidRPr="001F7671">
        <w:rPr>
          <w:b/>
          <w:bCs/>
          <w:lang w:val="en-US"/>
        </w:rPr>
        <w:t xml:space="preserve">Tx/Rx beam reciprocity at UE holds </w:t>
      </w:r>
      <w:r w:rsidRPr="001F7671">
        <w:rPr>
          <w:lang w:val="en-US"/>
        </w:rPr>
        <w:t xml:space="preserve">if at least one of the following is satisfied: </w:t>
      </w:r>
    </w:p>
    <w:p w14:paraId="3C75497A" w14:textId="77777777" w:rsidR="007D5462" w:rsidRPr="001F7671" w:rsidRDefault="008E2C91" w:rsidP="001F7671">
      <w:pPr>
        <w:numPr>
          <w:ilvl w:val="1"/>
          <w:numId w:val="43"/>
        </w:numPr>
        <w:jc w:val="both"/>
        <w:rPr>
          <w:lang w:val="en-US"/>
        </w:rPr>
      </w:pPr>
      <w:r w:rsidRPr="001F7671">
        <w:rPr>
          <w:lang w:val="en-US"/>
        </w:rPr>
        <w:t xml:space="preserve">UE </w:t>
      </w:r>
      <w:proofErr w:type="gramStart"/>
      <w:r w:rsidRPr="001F7671">
        <w:rPr>
          <w:lang w:val="en-US"/>
        </w:rPr>
        <w:t>is able to</w:t>
      </w:r>
      <w:proofErr w:type="gramEnd"/>
      <w:r w:rsidRPr="001F7671">
        <w:rPr>
          <w:lang w:val="en-US"/>
        </w:rPr>
        <w:t xml:space="preserve"> determine a UE Tx beam for the uplink transmission based on UE’s downlink measurement on UE’s Rx beams.</w:t>
      </w:r>
    </w:p>
    <w:p w14:paraId="7A909F37" w14:textId="0D039532" w:rsidR="007D5462" w:rsidRPr="001F7671" w:rsidRDefault="008E2C91" w:rsidP="001F7671">
      <w:pPr>
        <w:numPr>
          <w:ilvl w:val="1"/>
          <w:numId w:val="43"/>
        </w:numPr>
        <w:jc w:val="both"/>
        <w:rPr>
          <w:lang w:val="en-US"/>
        </w:rPr>
      </w:pPr>
      <w:r w:rsidRPr="001F7671">
        <w:t xml:space="preserve">UE </w:t>
      </w:r>
      <w:proofErr w:type="gramStart"/>
      <w:r w:rsidRPr="001F7671">
        <w:t>is able to</w:t>
      </w:r>
      <w:proofErr w:type="gramEnd"/>
      <w:r w:rsidRPr="001F7671">
        <w:t xml:space="preserve"> determine a</w:t>
      </w:r>
      <w:r w:rsidRPr="001F7671">
        <w:rPr>
          <w:lang w:val="en-US"/>
        </w:rPr>
        <w:t xml:space="preserve"> </w:t>
      </w:r>
      <w:r w:rsidRPr="001F7671">
        <w:t xml:space="preserve">UE Rx beam for the downlink reception based on </w:t>
      </w:r>
      <w:r w:rsidR="001F7671" w:rsidRPr="001F7671">
        <w:t>Transmission Reception Point</w:t>
      </w:r>
      <w:r w:rsidRPr="001F7671">
        <w:t xml:space="preserve"> indication based on uplink measurement on UE’s Tx beam.</w:t>
      </w:r>
    </w:p>
    <w:p w14:paraId="609A5AAB" w14:textId="651BBC07" w:rsidR="00B47DD5" w:rsidRDefault="00B47DD5" w:rsidP="00A5032F">
      <w:pPr>
        <w:jc w:val="both"/>
        <w:rPr>
          <w:lang w:val="en-US"/>
        </w:rPr>
      </w:pPr>
      <w:r>
        <w:rPr>
          <w:lang w:val="en-US"/>
        </w:rPr>
        <w:t xml:space="preserve">In summary, the key role of beam correspondence </w:t>
      </w:r>
      <w:r w:rsidR="00183F44">
        <w:rPr>
          <w:lang w:val="en-US"/>
        </w:rPr>
        <w:t xml:space="preserve">(or reciprocity) </w:t>
      </w:r>
      <w:r>
        <w:rPr>
          <w:lang w:val="en-US"/>
        </w:rPr>
        <w:t xml:space="preserve">in </w:t>
      </w:r>
      <w:proofErr w:type="spellStart"/>
      <w:r>
        <w:rPr>
          <w:lang w:val="en-US"/>
        </w:rPr>
        <w:t>mmW</w:t>
      </w:r>
      <w:proofErr w:type="spellEnd"/>
      <w:r>
        <w:rPr>
          <w:lang w:val="en-US"/>
        </w:rPr>
        <w:t xml:space="preserve"> communication consists in the possibility to use beam estimation in DL for UL transmission and vice versa. In case of correspondence between Rx and Tx beams, the results of the DL beam sweeping procedure is enough to find the optimal beam pair for both DL and UL transmissions. On the other hand, if correspondence does not hold, </w:t>
      </w:r>
      <w:r w:rsidR="00183F44">
        <w:rPr>
          <w:lang w:val="en-US"/>
        </w:rPr>
        <w:t xml:space="preserve">beam sweeping procedure </w:t>
      </w:r>
      <w:proofErr w:type="gramStart"/>
      <w:r w:rsidR="00183F44">
        <w:rPr>
          <w:lang w:val="en-US"/>
        </w:rPr>
        <w:t>has to</w:t>
      </w:r>
      <w:proofErr w:type="gramEnd"/>
      <w:r w:rsidR="00183F44">
        <w:rPr>
          <w:lang w:val="en-US"/>
        </w:rPr>
        <w:t xml:space="preserve"> be repeated for UL incurring additional overhead and also increasing the UE power consumption.</w:t>
      </w:r>
    </w:p>
    <w:p w14:paraId="273006DA" w14:textId="0EE6E5FD" w:rsidR="00183F44" w:rsidRDefault="00183F44" w:rsidP="00A5032F">
      <w:pPr>
        <w:jc w:val="both"/>
        <w:rPr>
          <w:lang w:val="en-US"/>
        </w:rPr>
      </w:pPr>
      <w:r>
        <w:rPr>
          <w:lang w:val="en-US"/>
        </w:rPr>
        <w:t xml:space="preserve">From the summary, </w:t>
      </w:r>
      <w:proofErr w:type="gramStart"/>
      <w:r>
        <w:rPr>
          <w:lang w:val="en-US"/>
        </w:rPr>
        <w:t>it is clear that UE</w:t>
      </w:r>
      <w:proofErr w:type="gramEnd"/>
      <w:r>
        <w:rPr>
          <w:lang w:val="en-US"/>
        </w:rPr>
        <w:t xml:space="preserve"> capable of beam correspondence will bring large benefits in terms of overall network efficiency. However,</w:t>
      </w:r>
      <w:r w:rsidR="001F7671">
        <w:rPr>
          <w:lang w:val="en-US"/>
        </w:rPr>
        <w:t xml:space="preserve"> achieving correspondence might be challenging for UE due</w:t>
      </w:r>
      <w:r w:rsidR="000122B2">
        <w:rPr>
          <w:lang w:val="en-US"/>
        </w:rPr>
        <w:t xml:space="preserve"> to</w:t>
      </w:r>
      <w:r w:rsidR="001F7671">
        <w:rPr>
          <w:lang w:val="en-US"/>
        </w:rPr>
        <w:t xml:space="preserve"> mismatches between Rx and Tx RF signal paths. </w:t>
      </w:r>
    </w:p>
    <w:p w14:paraId="02CD3B44" w14:textId="5943CE21" w:rsidR="001F7671" w:rsidRDefault="00E5535B" w:rsidP="00A5032F">
      <w:pPr>
        <w:jc w:val="both"/>
        <w:rPr>
          <w:lang w:val="en-US"/>
        </w:rPr>
      </w:pPr>
      <w:r>
        <w:rPr>
          <w:lang w:val="en-US"/>
        </w:rPr>
        <w:t xml:space="preserve">Latest agreements from </w:t>
      </w:r>
      <w:r w:rsidR="001F7671">
        <w:rPr>
          <w:lang w:val="en-US"/>
        </w:rPr>
        <w:t>RAN4</w:t>
      </w:r>
      <w:r w:rsidR="003E40B7">
        <w:rPr>
          <w:lang w:val="en-US"/>
        </w:rPr>
        <w:t xml:space="preserve"> #86bis</w:t>
      </w:r>
      <w:r w:rsidR="001F7671">
        <w:rPr>
          <w:lang w:val="en-US"/>
        </w:rPr>
        <w:t xml:space="preserve"> meeting</w:t>
      </w:r>
      <w:r>
        <w:rPr>
          <w:lang w:val="en-US"/>
        </w:rPr>
        <w:t xml:space="preserve"> are the following </w:t>
      </w:r>
      <w:r>
        <w:rPr>
          <w:lang w:val="en-US"/>
        </w:rPr>
        <w:fldChar w:fldCharType="begin"/>
      </w:r>
      <w:r>
        <w:rPr>
          <w:lang w:val="en-US"/>
        </w:rPr>
        <w:instrText xml:space="preserve"> REF _Ref513816174 \r \h </w:instrText>
      </w:r>
      <w:r>
        <w:rPr>
          <w:lang w:val="en-US"/>
        </w:rPr>
      </w:r>
      <w:r>
        <w:rPr>
          <w:lang w:val="en-US"/>
        </w:rPr>
        <w:fldChar w:fldCharType="separate"/>
      </w:r>
      <w:r>
        <w:rPr>
          <w:lang w:val="en-US"/>
        </w:rPr>
        <w:t>[3]</w:t>
      </w:r>
      <w:r>
        <w:rPr>
          <w:lang w:val="en-US"/>
        </w:rPr>
        <w:fldChar w:fldCharType="end"/>
      </w:r>
      <w:r>
        <w:rPr>
          <w:lang w:val="en-US"/>
        </w:rPr>
        <w:t>:</w:t>
      </w:r>
    </w:p>
    <w:p w14:paraId="2B7CE055" w14:textId="77777777" w:rsidR="00D5483C" w:rsidRPr="00E5535B" w:rsidRDefault="00FC26AD" w:rsidP="00E5535B">
      <w:pPr>
        <w:numPr>
          <w:ilvl w:val="0"/>
          <w:numId w:val="46"/>
        </w:numPr>
        <w:jc w:val="both"/>
        <w:rPr>
          <w:i/>
          <w:color w:val="000000"/>
          <w:lang w:val="en-US"/>
        </w:rPr>
      </w:pPr>
      <w:r w:rsidRPr="00E5535B">
        <w:rPr>
          <w:i/>
          <w:color w:val="000000"/>
          <w:lang w:val="en-US"/>
        </w:rPr>
        <w:t>Beam correspondence requirement should be only based on UE Tx EIRP measurements performed by the TE.</w:t>
      </w:r>
    </w:p>
    <w:p w14:paraId="70B6F19F" w14:textId="77777777" w:rsidR="00D5483C" w:rsidRPr="00E5535B" w:rsidRDefault="00FC26AD" w:rsidP="00E5535B">
      <w:pPr>
        <w:numPr>
          <w:ilvl w:val="0"/>
          <w:numId w:val="46"/>
        </w:numPr>
        <w:jc w:val="both"/>
        <w:rPr>
          <w:i/>
          <w:color w:val="000000"/>
          <w:lang w:val="en-US"/>
        </w:rPr>
      </w:pPr>
      <w:r w:rsidRPr="00E5535B">
        <w:rPr>
          <w:i/>
          <w:color w:val="000000"/>
          <w:lang w:val="en-US"/>
        </w:rPr>
        <w:t>Beam correspondence requirements definition will be further discussed based on the following two approaches, [other approaches not precluded]:</w:t>
      </w:r>
    </w:p>
    <w:p w14:paraId="35604B50" w14:textId="77777777" w:rsidR="00D5483C" w:rsidRPr="00E5535B" w:rsidRDefault="00FC26AD" w:rsidP="00E5535B">
      <w:pPr>
        <w:numPr>
          <w:ilvl w:val="1"/>
          <w:numId w:val="46"/>
        </w:numPr>
        <w:jc w:val="both"/>
        <w:rPr>
          <w:i/>
          <w:color w:val="000000"/>
          <w:lang w:val="en-US"/>
        </w:rPr>
      </w:pPr>
      <w:r w:rsidRPr="00E5535B">
        <w:rPr>
          <w:i/>
          <w:color w:val="000000"/>
          <w:lang w:val="en-US"/>
        </w:rPr>
        <w:t>1</w:t>
      </w:r>
      <w:r w:rsidRPr="00E5535B">
        <w:rPr>
          <w:i/>
          <w:color w:val="000000"/>
          <w:vertAlign w:val="superscript"/>
          <w:lang w:val="en-US"/>
        </w:rPr>
        <w:t>st</w:t>
      </w:r>
      <w:r w:rsidRPr="00E5535B">
        <w:rPr>
          <w:i/>
          <w:color w:val="000000"/>
          <w:lang w:val="en-US"/>
        </w:rPr>
        <w:t xml:space="preserve"> approach: define the beam correspondence requirement based on an EIRP tolerance between the best Tx beam and the Tx beam selected based on DL measurements. </w:t>
      </w:r>
    </w:p>
    <w:p w14:paraId="4A35FAED" w14:textId="77777777" w:rsidR="00D5483C" w:rsidRPr="00E5535B" w:rsidRDefault="00FC26AD" w:rsidP="00E5535B">
      <w:pPr>
        <w:numPr>
          <w:ilvl w:val="1"/>
          <w:numId w:val="46"/>
        </w:numPr>
        <w:jc w:val="both"/>
        <w:rPr>
          <w:i/>
          <w:color w:val="000000"/>
          <w:lang w:val="en-US"/>
        </w:rPr>
      </w:pPr>
      <w:r w:rsidRPr="00E5535B">
        <w:rPr>
          <w:i/>
          <w:color w:val="000000"/>
          <w:lang w:val="en-US"/>
        </w:rPr>
        <w:t>2</w:t>
      </w:r>
      <w:r w:rsidRPr="00E5535B">
        <w:rPr>
          <w:i/>
          <w:color w:val="000000"/>
          <w:vertAlign w:val="superscript"/>
          <w:lang w:val="en-US"/>
        </w:rPr>
        <w:t>nd</w:t>
      </w:r>
      <w:r w:rsidRPr="00E5535B">
        <w:rPr>
          <w:i/>
          <w:color w:val="000000"/>
          <w:lang w:val="en-US"/>
        </w:rPr>
        <w:t xml:space="preserve"> </w:t>
      </w:r>
      <w:proofErr w:type="gramStart"/>
      <w:r w:rsidRPr="00E5535B">
        <w:rPr>
          <w:i/>
          <w:color w:val="000000"/>
          <w:lang w:val="en-US"/>
        </w:rPr>
        <w:t>approach :</w:t>
      </w:r>
      <w:proofErr w:type="gramEnd"/>
      <w:r w:rsidRPr="00E5535B">
        <w:rPr>
          <w:i/>
          <w:color w:val="000000"/>
          <w:lang w:val="en-US"/>
        </w:rPr>
        <w:t xml:space="preserve"> define the beam correspondence requirement based on EIRP CDF requirements. In this case, the correspondence is defined based on passing the EIRP CDF requirements without UL Tx beam sweeping. </w:t>
      </w:r>
    </w:p>
    <w:p w14:paraId="13E83F26" w14:textId="77777777" w:rsidR="00D5483C" w:rsidRPr="00E5535B" w:rsidRDefault="00FC26AD" w:rsidP="00E5535B">
      <w:pPr>
        <w:numPr>
          <w:ilvl w:val="1"/>
          <w:numId w:val="46"/>
        </w:numPr>
        <w:jc w:val="both"/>
        <w:rPr>
          <w:i/>
          <w:color w:val="000000"/>
          <w:lang w:val="en-US"/>
        </w:rPr>
      </w:pPr>
      <w:r w:rsidRPr="00E5535B">
        <w:rPr>
          <w:i/>
          <w:color w:val="000000"/>
          <w:lang w:val="en-US"/>
        </w:rPr>
        <w:t>Companies provide their preferred approach at next RAN4 meeting</w:t>
      </w:r>
    </w:p>
    <w:p w14:paraId="4FCB619B" w14:textId="77777777" w:rsidR="00D5483C" w:rsidRPr="00E5535B" w:rsidRDefault="00FC26AD" w:rsidP="00E5535B">
      <w:pPr>
        <w:numPr>
          <w:ilvl w:val="0"/>
          <w:numId w:val="46"/>
        </w:numPr>
        <w:jc w:val="both"/>
        <w:rPr>
          <w:i/>
          <w:color w:val="000000"/>
          <w:lang w:val="en-US"/>
        </w:rPr>
      </w:pPr>
      <w:r w:rsidRPr="00E5535B">
        <w:rPr>
          <w:i/>
          <w:color w:val="000000"/>
          <w:lang w:val="en-US"/>
        </w:rPr>
        <w:t>RAN4 will define a beam correspondence requirement based on bullets 1, 2</w:t>
      </w:r>
    </w:p>
    <w:p w14:paraId="486C581E" w14:textId="77777777" w:rsidR="00D5483C" w:rsidRPr="00E5535B" w:rsidRDefault="00FC26AD" w:rsidP="00E5535B">
      <w:pPr>
        <w:numPr>
          <w:ilvl w:val="0"/>
          <w:numId w:val="46"/>
        </w:numPr>
        <w:jc w:val="both"/>
        <w:rPr>
          <w:i/>
          <w:color w:val="000000"/>
          <w:lang w:val="en-US"/>
        </w:rPr>
      </w:pPr>
      <w:r w:rsidRPr="00E5535B">
        <w:rPr>
          <w:i/>
          <w:color w:val="000000"/>
          <w:lang w:val="en-US"/>
        </w:rPr>
        <w:t>RAN4 will decide if beam correspondence RF requirement can be tested simultaneously with other Tx requirements.</w:t>
      </w:r>
    </w:p>
    <w:p w14:paraId="4D6A550A" w14:textId="76A8471E" w:rsidR="00B47DD5" w:rsidRPr="00E5535B" w:rsidRDefault="00E5535B" w:rsidP="00A5032F">
      <w:pPr>
        <w:jc w:val="both"/>
        <w:rPr>
          <w:color w:val="000000"/>
          <w:lang w:val="en-US"/>
        </w:rPr>
      </w:pPr>
      <w:r w:rsidRPr="00E5535B">
        <w:rPr>
          <w:color w:val="000000"/>
          <w:lang w:val="en-US"/>
        </w:rPr>
        <w:lastRenderedPageBreak/>
        <w:t xml:space="preserve">Following </w:t>
      </w:r>
      <w:r>
        <w:rPr>
          <w:color w:val="000000"/>
          <w:lang w:val="en-US"/>
        </w:rPr>
        <w:t xml:space="preserve">our original proposal in </w:t>
      </w:r>
      <w:r>
        <w:rPr>
          <w:color w:val="000000"/>
          <w:lang w:val="en-US"/>
        </w:rPr>
        <w:fldChar w:fldCharType="begin"/>
      </w:r>
      <w:r>
        <w:rPr>
          <w:color w:val="000000"/>
          <w:lang w:val="en-US"/>
        </w:rPr>
        <w:instrText xml:space="preserve"> REF _Ref513816206 \r \h </w:instrText>
      </w:r>
      <w:r>
        <w:rPr>
          <w:color w:val="000000"/>
          <w:lang w:val="en-US"/>
        </w:rPr>
      </w:r>
      <w:r>
        <w:rPr>
          <w:color w:val="000000"/>
          <w:lang w:val="en-US"/>
        </w:rPr>
        <w:fldChar w:fldCharType="separate"/>
      </w:r>
      <w:r>
        <w:rPr>
          <w:color w:val="000000"/>
          <w:lang w:val="en-US"/>
        </w:rPr>
        <w:t>[4]</w:t>
      </w:r>
      <w:r>
        <w:rPr>
          <w:color w:val="000000"/>
          <w:lang w:val="en-US"/>
        </w:rPr>
        <w:fldChar w:fldCharType="end"/>
      </w:r>
      <w:r>
        <w:rPr>
          <w:color w:val="000000"/>
          <w:lang w:val="en-US"/>
        </w:rPr>
        <w:t>, we still prefer the first approach:</w:t>
      </w:r>
    </w:p>
    <w:p w14:paraId="5B96D25A" w14:textId="65D6DB89" w:rsidR="000443FF" w:rsidRPr="00901B12" w:rsidRDefault="000443FF" w:rsidP="00A97EB8">
      <w:pPr>
        <w:jc w:val="both"/>
        <w:rPr>
          <w:b/>
          <w:i/>
          <w:color w:val="000000"/>
          <w:lang w:val="en-US"/>
        </w:rPr>
      </w:pPr>
      <w:r w:rsidRPr="00901B12">
        <w:rPr>
          <w:b/>
          <w:i/>
          <w:color w:val="000000"/>
          <w:lang w:val="en-US"/>
        </w:rPr>
        <w:t xml:space="preserve">Proposal </w:t>
      </w:r>
      <w:r w:rsidR="00E5535B">
        <w:rPr>
          <w:b/>
          <w:i/>
          <w:color w:val="000000"/>
          <w:lang w:val="en-US"/>
        </w:rPr>
        <w:t>1</w:t>
      </w:r>
      <w:r w:rsidR="00901B12" w:rsidRPr="00901B12">
        <w:rPr>
          <w:b/>
          <w:i/>
          <w:color w:val="000000"/>
          <w:lang w:val="en-US"/>
        </w:rPr>
        <w:t>:</w:t>
      </w:r>
      <w:r w:rsidR="00901B12">
        <w:rPr>
          <w:b/>
          <w:i/>
          <w:color w:val="000000"/>
          <w:lang w:val="en-US"/>
        </w:rPr>
        <w:t xml:space="preserve"> definition of beam correspondence requirement in TS 38.101-2:</w:t>
      </w:r>
    </w:p>
    <w:p w14:paraId="7EB11000" w14:textId="77777777" w:rsidR="00E5535B" w:rsidRPr="00535D11" w:rsidRDefault="00E5535B" w:rsidP="00E5535B">
      <w:pPr>
        <w:ind w:left="284"/>
        <w:rPr>
          <w:b/>
          <w:i/>
          <w:lang w:val="en-US"/>
        </w:rPr>
      </w:pPr>
      <w:r w:rsidRPr="00535D11">
        <w:rPr>
          <w:b/>
          <w:i/>
          <w:lang w:val="en-US"/>
        </w:rPr>
        <w:t xml:space="preserve">The beam correspondence requirement measures the ability of the UE to select a corresponding beam for UL transmission based on DL measurements. </w:t>
      </w:r>
    </w:p>
    <w:p w14:paraId="69BFCC27" w14:textId="77777777" w:rsidR="00E5535B" w:rsidRPr="00535D11" w:rsidRDefault="00E5535B" w:rsidP="00E5535B">
      <w:pPr>
        <w:ind w:left="284"/>
        <w:rPr>
          <w:b/>
          <w:i/>
          <w:lang w:val="en-US"/>
        </w:rPr>
      </w:pPr>
      <w:r w:rsidRPr="00535D11">
        <w:rPr>
          <w:b/>
          <w:i/>
          <w:lang w:val="en-US"/>
        </w:rPr>
        <w:t xml:space="preserve">For any link direction between UE and BS, the selected beam for UL transmission is a corresponding beam if the difference between the UE EIRP measured for the selected beam and the maximum achievable EIRP in the same direction is within the tolerance defined in Table 6.2.5-1. </w:t>
      </w:r>
    </w:p>
    <w:p w14:paraId="7E07F39E" w14:textId="77777777" w:rsidR="00E5535B" w:rsidRPr="00535D11" w:rsidRDefault="00E5535B" w:rsidP="00E5535B">
      <w:pPr>
        <w:ind w:left="284"/>
        <w:rPr>
          <w:b/>
          <w:i/>
          <w:lang w:val="en-US"/>
        </w:rPr>
      </w:pPr>
      <w:r w:rsidRPr="00535D11">
        <w:rPr>
          <w:b/>
          <w:i/>
          <w:lang w:val="en-US"/>
        </w:rPr>
        <w:t>To UE shall be able to select a corresponding beam in any link direction.</w:t>
      </w:r>
    </w:p>
    <w:p w14:paraId="1219F37B" w14:textId="489216A6" w:rsidR="00E5535B" w:rsidRPr="00535D11" w:rsidRDefault="00E5535B" w:rsidP="00E5535B">
      <w:pPr>
        <w:pStyle w:val="TH"/>
        <w:ind w:left="284"/>
        <w:rPr>
          <w:i/>
        </w:rPr>
      </w:pPr>
      <w:r w:rsidRPr="00535D11">
        <w:rPr>
          <w:i/>
        </w:rPr>
        <w:t xml:space="preserve">Table </w:t>
      </w:r>
      <w:r w:rsidR="00535D11">
        <w:rPr>
          <w:i/>
        </w:rPr>
        <w:t>1</w:t>
      </w:r>
      <w:r w:rsidRPr="00535D11">
        <w:rPr>
          <w:i/>
        </w:rPr>
        <w:t>: NR UE beam correspondence tolerance</w:t>
      </w:r>
    </w:p>
    <w:tbl>
      <w:tblPr>
        <w:tblW w:w="0" w:type="auto"/>
        <w:tblInd w:w="2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tblGrid>
      <w:tr w:rsidR="00E5535B" w:rsidRPr="00535D11" w14:paraId="193C9F92" w14:textId="77777777" w:rsidTr="00E5535B">
        <w:tc>
          <w:tcPr>
            <w:tcW w:w="1606" w:type="dxa"/>
            <w:shd w:val="clear" w:color="auto" w:fill="auto"/>
            <w:vAlign w:val="center"/>
          </w:tcPr>
          <w:p w14:paraId="089E6B90" w14:textId="77777777" w:rsidR="00E5535B" w:rsidRPr="00535D11" w:rsidRDefault="00E5535B" w:rsidP="00E5535B">
            <w:pPr>
              <w:pStyle w:val="TAH"/>
              <w:rPr>
                <w:rFonts w:eastAsia="Calibri"/>
                <w:i/>
                <w:szCs w:val="22"/>
              </w:rPr>
            </w:pPr>
            <w:r w:rsidRPr="00535D11">
              <w:rPr>
                <w:rFonts w:eastAsia="Calibri"/>
                <w:i/>
                <w:szCs w:val="22"/>
              </w:rPr>
              <w:t>NR band</w:t>
            </w:r>
          </w:p>
        </w:tc>
        <w:tc>
          <w:tcPr>
            <w:tcW w:w="1628" w:type="dxa"/>
            <w:shd w:val="clear" w:color="auto" w:fill="auto"/>
            <w:vAlign w:val="center"/>
          </w:tcPr>
          <w:p w14:paraId="4091176E" w14:textId="77777777" w:rsidR="00E5535B" w:rsidRPr="00535D11" w:rsidRDefault="00E5535B" w:rsidP="00E5535B">
            <w:pPr>
              <w:pStyle w:val="TAH"/>
              <w:rPr>
                <w:rFonts w:eastAsia="Calibri"/>
                <w:i/>
                <w:szCs w:val="22"/>
              </w:rPr>
            </w:pPr>
            <w:r w:rsidRPr="00535D11">
              <w:rPr>
                <w:rFonts w:eastAsia="Calibri"/>
                <w:i/>
                <w:szCs w:val="22"/>
              </w:rPr>
              <w:t>Beam correspondence tolerance (dB)</w:t>
            </w:r>
          </w:p>
        </w:tc>
      </w:tr>
      <w:tr w:rsidR="00E5535B" w:rsidRPr="00535D11" w14:paraId="1CE3C8F8" w14:textId="77777777" w:rsidTr="00E5535B">
        <w:tc>
          <w:tcPr>
            <w:tcW w:w="1606" w:type="dxa"/>
            <w:shd w:val="clear" w:color="auto" w:fill="auto"/>
          </w:tcPr>
          <w:p w14:paraId="45C257E4" w14:textId="77777777" w:rsidR="00E5535B" w:rsidRPr="00535D11" w:rsidRDefault="00E5535B" w:rsidP="004B1881">
            <w:pPr>
              <w:pStyle w:val="TAC"/>
              <w:rPr>
                <w:rFonts w:eastAsia="Calibri"/>
                <w:b/>
                <w:i/>
                <w:szCs w:val="22"/>
              </w:rPr>
            </w:pPr>
            <w:r w:rsidRPr="00535D11">
              <w:rPr>
                <w:rFonts w:eastAsia="Calibri"/>
                <w:b/>
                <w:i/>
                <w:szCs w:val="22"/>
              </w:rPr>
              <w:t>n257</w:t>
            </w:r>
          </w:p>
        </w:tc>
        <w:tc>
          <w:tcPr>
            <w:tcW w:w="1628" w:type="dxa"/>
            <w:shd w:val="clear" w:color="auto" w:fill="auto"/>
            <w:vAlign w:val="center"/>
          </w:tcPr>
          <w:p w14:paraId="4BB293FA" w14:textId="523B6738" w:rsidR="00E5535B" w:rsidRPr="00535D11" w:rsidRDefault="00E5535B" w:rsidP="004B1881">
            <w:pPr>
              <w:pStyle w:val="TAC"/>
              <w:rPr>
                <w:rFonts w:eastAsia="Calibri"/>
                <w:b/>
                <w:i/>
                <w:szCs w:val="22"/>
              </w:rPr>
            </w:pPr>
            <w:r w:rsidRPr="00535D11">
              <w:rPr>
                <w:rFonts w:eastAsia="Calibri"/>
                <w:b/>
                <w:i/>
                <w:szCs w:val="22"/>
              </w:rPr>
              <w:t>[</w:t>
            </w:r>
            <w:r w:rsidR="003D3AC3">
              <w:rPr>
                <w:rFonts w:eastAsia="Calibri"/>
                <w:b/>
                <w:i/>
                <w:szCs w:val="22"/>
              </w:rPr>
              <w:t>TBD</w:t>
            </w:r>
            <w:r w:rsidRPr="00535D11">
              <w:rPr>
                <w:rFonts w:eastAsia="Calibri"/>
                <w:b/>
                <w:i/>
                <w:szCs w:val="22"/>
              </w:rPr>
              <w:t>]</w:t>
            </w:r>
          </w:p>
        </w:tc>
      </w:tr>
      <w:tr w:rsidR="00E5535B" w:rsidRPr="00535D11" w14:paraId="144338BE" w14:textId="77777777" w:rsidTr="00E5535B">
        <w:tc>
          <w:tcPr>
            <w:tcW w:w="1606" w:type="dxa"/>
            <w:shd w:val="clear" w:color="auto" w:fill="auto"/>
          </w:tcPr>
          <w:p w14:paraId="69A1A231" w14:textId="77777777" w:rsidR="00E5535B" w:rsidRPr="00535D11" w:rsidRDefault="00E5535B" w:rsidP="004B1881">
            <w:pPr>
              <w:pStyle w:val="TAC"/>
              <w:rPr>
                <w:rFonts w:eastAsia="Calibri"/>
                <w:b/>
                <w:i/>
                <w:szCs w:val="22"/>
              </w:rPr>
            </w:pPr>
            <w:r w:rsidRPr="00535D11">
              <w:rPr>
                <w:rFonts w:eastAsia="Calibri"/>
                <w:b/>
                <w:i/>
                <w:szCs w:val="22"/>
              </w:rPr>
              <w:t>n258</w:t>
            </w:r>
          </w:p>
        </w:tc>
        <w:tc>
          <w:tcPr>
            <w:tcW w:w="1628" w:type="dxa"/>
            <w:shd w:val="clear" w:color="auto" w:fill="auto"/>
            <w:vAlign w:val="center"/>
          </w:tcPr>
          <w:p w14:paraId="78D8124E" w14:textId="40CB4317" w:rsidR="00E5535B" w:rsidRPr="00535D11" w:rsidRDefault="00E5535B" w:rsidP="004B1881">
            <w:pPr>
              <w:pStyle w:val="TAC"/>
              <w:rPr>
                <w:rFonts w:eastAsia="Calibri"/>
                <w:b/>
                <w:i/>
                <w:szCs w:val="22"/>
              </w:rPr>
            </w:pPr>
            <w:r w:rsidRPr="00535D11">
              <w:rPr>
                <w:rFonts w:eastAsia="Calibri"/>
                <w:b/>
                <w:i/>
                <w:szCs w:val="22"/>
              </w:rPr>
              <w:t>[</w:t>
            </w:r>
            <w:r w:rsidR="00144E1D">
              <w:rPr>
                <w:rFonts w:eastAsia="Calibri"/>
                <w:b/>
                <w:i/>
                <w:szCs w:val="22"/>
              </w:rPr>
              <w:t>TBD</w:t>
            </w:r>
            <w:r w:rsidRPr="00535D11">
              <w:rPr>
                <w:rFonts w:eastAsia="Calibri"/>
                <w:b/>
                <w:i/>
                <w:szCs w:val="22"/>
              </w:rPr>
              <w:t>]</w:t>
            </w:r>
          </w:p>
        </w:tc>
      </w:tr>
      <w:tr w:rsidR="00E5535B" w:rsidRPr="00535D11" w14:paraId="18161579" w14:textId="77777777" w:rsidTr="00E5535B">
        <w:tc>
          <w:tcPr>
            <w:tcW w:w="1606" w:type="dxa"/>
            <w:shd w:val="clear" w:color="auto" w:fill="auto"/>
          </w:tcPr>
          <w:p w14:paraId="71E494FB" w14:textId="77777777" w:rsidR="00E5535B" w:rsidRPr="00535D11" w:rsidRDefault="00E5535B" w:rsidP="004B1881">
            <w:pPr>
              <w:pStyle w:val="TAC"/>
              <w:rPr>
                <w:rFonts w:eastAsia="Calibri"/>
                <w:b/>
                <w:i/>
                <w:szCs w:val="22"/>
              </w:rPr>
            </w:pPr>
            <w:r w:rsidRPr="00535D11">
              <w:rPr>
                <w:rFonts w:eastAsia="Calibri"/>
                <w:b/>
                <w:i/>
                <w:szCs w:val="22"/>
              </w:rPr>
              <w:t>n260</w:t>
            </w:r>
          </w:p>
        </w:tc>
        <w:tc>
          <w:tcPr>
            <w:tcW w:w="1628" w:type="dxa"/>
            <w:shd w:val="clear" w:color="auto" w:fill="auto"/>
            <w:vAlign w:val="center"/>
          </w:tcPr>
          <w:p w14:paraId="693457B8" w14:textId="47AA0E98" w:rsidR="00E5535B" w:rsidRPr="00535D11" w:rsidRDefault="00E5535B" w:rsidP="004B1881">
            <w:pPr>
              <w:pStyle w:val="TAC"/>
              <w:rPr>
                <w:rFonts w:eastAsia="Calibri"/>
                <w:b/>
                <w:i/>
                <w:szCs w:val="22"/>
              </w:rPr>
            </w:pPr>
            <w:r w:rsidRPr="00535D11">
              <w:rPr>
                <w:rFonts w:eastAsia="Calibri"/>
                <w:b/>
                <w:i/>
                <w:szCs w:val="22"/>
              </w:rPr>
              <w:t>[</w:t>
            </w:r>
            <w:r w:rsidR="00144E1D">
              <w:rPr>
                <w:rFonts w:eastAsia="Calibri"/>
                <w:b/>
                <w:i/>
                <w:szCs w:val="22"/>
              </w:rPr>
              <w:t>TBD</w:t>
            </w:r>
            <w:r w:rsidRPr="00535D11">
              <w:rPr>
                <w:rFonts w:eastAsia="Calibri"/>
                <w:b/>
                <w:i/>
                <w:szCs w:val="22"/>
              </w:rPr>
              <w:t>]</w:t>
            </w:r>
          </w:p>
        </w:tc>
      </w:tr>
      <w:tr w:rsidR="00E5535B" w:rsidRPr="00535D11" w14:paraId="6CB2BF53" w14:textId="77777777" w:rsidTr="00E5535B">
        <w:tc>
          <w:tcPr>
            <w:tcW w:w="1606" w:type="dxa"/>
            <w:shd w:val="clear" w:color="auto" w:fill="auto"/>
          </w:tcPr>
          <w:p w14:paraId="22427E74" w14:textId="77777777" w:rsidR="00E5535B" w:rsidRPr="00535D11" w:rsidRDefault="00E5535B" w:rsidP="004B1881">
            <w:pPr>
              <w:pStyle w:val="TAC"/>
              <w:rPr>
                <w:rFonts w:eastAsia="Calibri"/>
                <w:b/>
                <w:i/>
                <w:szCs w:val="22"/>
              </w:rPr>
            </w:pPr>
            <w:r w:rsidRPr="00535D11">
              <w:rPr>
                <w:rFonts w:eastAsia="Calibri"/>
                <w:b/>
                <w:i/>
                <w:szCs w:val="22"/>
              </w:rPr>
              <w:t>n261</w:t>
            </w:r>
          </w:p>
        </w:tc>
        <w:tc>
          <w:tcPr>
            <w:tcW w:w="1628" w:type="dxa"/>
            <w:shd w:val="clear" w:color="auto" w:fill="auto"/>
            <w:vAlign w:val="center"/>
          </w:tcPr>
          <w:p w14:paraId="6BF9E428" w14:textId="063FAF6A" w:rsidR="00E5535B" w:rsidRPr="00535D11" w:rsidRDefault="00E5535B" w:rsidP="004B1881">
            <w:pPr>
              <w:pStyle w:val="TAC"/>
              <w:rPr>
                <w:rFonts w:eastAsia="Calibri"/>
                <w:b/>
                <w:i/>
                <w:szCs w:val="22"/>
              </w:rPr>
            </w:pPr>
            <w:r w:rsidRPr="00535D11">
              <w:rPr>
                <w:rFonts w:eastAsia="Calibri"/>
                <w:b/>
                <w:i/>
                <w:szCs w:val="22"/>
              </w:rPr>
              <w:t>[</w:t>
            </w:r>
            <w:r w:rsidR="00144E1D">
              <w:rPr>
                <w:rFonts w:eastAsia="Calibri"/>
                <w:b/>
                <w:i/>
                <w:szCs w:val="22"/>
              </w:rPr>
              <w:t>TBD</w:t>
            </w:r>
            <w:r w:rsidRPr="00535D11">
              <w:rPr>
                <w:rFonts w:eastAsia="Calibri"/>
                <w:b/>
                <w:i/>
                <w:szCs w:val="22"/>
              </w:rPr>
              <w:t>]</w:t>
            </w:r>
          </w:p>
        </w:tc>
      </w:tr>
    </w:tbl>
    <w:p w14:paraId="49C2A311" w14:textId="77777777" w:rsidR="00535D11" w:rsidRDefault="00535D11" w:rsidP="0071430D">
      <w:pPr>
        <w:jc w:val="both"/>
        <w:rPr>
          <w:color w:val="000000"/>
          <w:lang w:val="en-US"/>
        </w:rPr>
      </w:pPr>
    </w:p>
    <w:p w14:paraId="6F8E2FAB" w14:textId="21539787" w:rsidR="00535D11" w:rsidRDefault="00535D11" w:rsidP="0071430D">
      <w:pPr>
        <w:jc w:val="both"/>
        <w:rPr>
          <w:color w:val="000000"/>
          <w:lang w:val="en-US"/>
        </w:rPr>
      </w:pPr>
      <w:r>
        <w:rPr>
          <w:color w:val="000000"/>
          <w:lang w:val="en-US"/>
        </w:rPr>
        <w:t xml:space="preserve">The above proposal is implemented in the draft CR to TS 38.101-2 introduced in </w:t>
      </w:r>
      <w:r>
        <w:rPr>
          <w:color w:val="000000"/>
          <w:lang w:val="en-US"/>
        </w:rPr>
        <w:fldChar w:fldCharType="begin"/>
      </w:r>
      <w:r>
        <w:rPr>
          <w:color w:val="000000"/>
          <w:lang w:val="en-US"/>
        </w:rPr>
        <w:instrText xml:space="preserve"> REF _Ref513816540 \r \h </w:instrText>
      </w:r>
      <w:r>
        <w:rPr>
          <w:color w:val="000000"/>
          <w:lang w:val="en-US"/>
        </w:rPr>
      </w:r>
      <w:r>
        <w:rPr>
          <w:color w:val="000000"/>
          <w:lang w:val="en-US"/>
        </w:rPr>
        <w:fldChar w:fldCharType="separate"/>
      </w:r>
      <w:r>
        <w:rPr>
          <w:color w:val="000000"/>
          <w:lang w:val="en-US"/>
        </w:rPr>
        <w:t>[5]</w:t>
      </w:r>
      <w:r>
        <w:rPr>
          <w:color w:val="000000"/>
          <w:lang w:val="en-US"/>
        </w:rPr>
        <w:fldChar w:fldCharType="end"/>
      </w:r>
      <w:r>
        <w:rPr>
          <w:color w:val="000000"/>
          <w:lang w:val="en-US"/>
        </w:rPr>
        <w:t>.</w:t>
      </w:r>
    </w:p>
    <w:p w14:paraId="6BE849D4" w14:textId="45B33B1A" w:rsidR="00535D11" w:rsidRDefault="00535D11" w:rsidP="00A5032F">
      <w:pPr>
        <w:jc w:val="both"/>
        <w:rPr>
          <w:color w:val="000000"/>
          <w:lang w:val="en-US"/>
        </w:rPr>
      </w:pPr>
      <w:r>
        <w:rPr>
          <w:color w:val="000000"/>
          <w:lang w:val="en-US"/>
        </w:rPr>
        <w:t>In case RAN4 is not able to finalize details about testing procedure in RAN4 #87, our preference is to define a minimum requirement according to Proposal 1 and then finalize the testing procedure in future RAN4 meetings.</w:t>
      </w:r>
    </w:p>
    <w:p w14:paraId="68DF9DDF" w14:textId="1ECA2329" w:rsidR="00201E1D" w:rsidRPr="00535D11" w:rsidRDefault="00535D11" w:rsidP="00A5032F">
      <w:pPr>
        <w:jc w:val="both"/>
        <w:rPr>
          <w:b/>
          <w:i/>
          <w:color w:val="000000"/>
          <w:lang w:val="en-US"/>
        </w:rPr>
      </w:pPr>
      <w:r w:rsidRPr="00535D11">
        <w:rPr>
          <w:b/>
          <w:i/>
          <w:color w:val="000000"/>
          <w:lang w:val="en-US"/>
        </w:rPr>
        <w:t>Proposal 2:</w:t>
      </w:r>
      <w:r>
        <w:rPr>
          <w:b/>
          <w:i/>
          <w:color w:val="000000"/>
          <w:lang w:val="en-US"/>
        </w:rPr>
        <w:t xml:space="preserve"> </w:t>
      </w:r>
      <w:r w:rsidRPr="00535D11">
        <w:rPr>
          <w:b/>
          <w:i/>
          <w:color w:val="000000"/>
          <w:lang w:val="en-US"/>
        </w:rPr>
        <w:t>In case RAN4 is not able to finalize details about testing procedure in RAN4 #87</w:t>
      </w:r>
      <w:r>
        <w:rPr>
          <w:b/>
          <w:i/>
          <w:color w:val="000000"/>
          <w:lang w:val="en-US"/>
        </w:rPr>
        <w:t>,</w:t>
      </w:r>
      <w:r w:rsidRPr="00535D11">
        <w:rPr>
          <w:b/>
          <w:i/>
          <w:color w:val="000000"/>
          <w:lang w:val="en-US"/>
        </w:rPr>
        <w:t xml:space="preserve"> a minimum </w:t>
      </w:r>
      <w:r>
        <w:rPr>
          <w:b/>
          <w:i/>
          <w:color w:val="000000"/>
          <w:lang w:val="en-US"/>
        </w:rPr>
        <w:t xml:space="preserve">requirement for beam correspondence </w:t>
      </w:r>
      <w:r w:rsidRPr="00535D11">
        <w:rPr>
          <w:b/>
          <w:i/>
          <w:color w:val="000000"/>
          <w:lang w:val="en-US"/>
        </w:rPr>
        <w:t xml:space="preserve">according to Proposal 1 </w:t>
      </w:r>
      <w:r>
        <w:rPr>
          <w:b/>
          <w:i/>
          <w:color w:val="000000"/>
          <w:lang w:val="en-US"/>
        </w:rPr>
        <w:t xml:space="preserve">should be introduced in TS 38.101-2, while </w:t>
      </w:r>
      <w:r w:rsidRPr="00535D11">
        <w:rPr>
          <w:b/>
          <w:i/>
          <w:color w:val="000000"/>
          <w:lang w:val="en-US"/>
        </w:rPr>
        <w:t xml:space="preserve">the testing procedure </w:t>
      </w:r>
      <w:r>
        <w:rPr>
          <w:b/>
          <w:i/>
          <w:color w:val="000000"/>
          <w:lang w:val="en-US"/>
        </w:rPr>
        <w:t xml:space="preserve">could be finalized </w:t>
      </w:r>
      <w:r w:rsidRPr="00535D11">
        <w:rPr>
          <w:b/>
          <w:i/>
          <w:color w:val="000000"/>
          <w:lang w:val="en-US"/>
        </w:rPr>
        <w:t>in future RAN4 meetings</w:t>
      </w:r>
      <w:r>
        <w:rPr>
          <w:b/>
          <w:i/>
          <w:color w:val="000000"/>
          <w:lang w:val="en-US"/>
        </w:rPr>
        <w:t>.</w:t>
      </w:r>
    </w:p>
    <w:p w14:paraId="53404A85" w14:textId="4EA32936" w:rsidR="007F2705" w:rsidRPr="00B80E63" w:rsidRDefault="00B80E63" w:rsidP="00B80E63">
      <w:pPr>
        <w:pStyle w:val="Heading1"/>
        <w:numPr>
          <w:ilvl w:val="0"/>
          <w:numId w:val="0"/>
        </w:numPr>
        <w:tabs>
          <w:tab w:val="num" w:pos="432"/>
        </w:tabs>
        <w:ind w:left="432" w:hanging="432"/>
        <w:jc w:val="both"/>
        <w:rPr>
          <w:lang w:val="en-US"/>
        </w:rPr>
      </w:pPr>
      <w:r>
        <w:rPr>
          <w:lang w:val="en-US"/>
        </w:rPr>
        <w:t>Conclusions</w:t>
      </w:r>
    </w:p>
    <w:p w14:paraId="716D1A61" w14:textId="028BA743" w:rsidR="00E322D7" w:rsidRDefault="0091110E" w:rsidP="00535D11">
      <w:pPr>
        <w:rPr>
          <w:b/>
          <w:i/>
          <w:color w:val="000000"/>
          <w:lang w:val="en-US"/>
        </w:rPr>
      </w:pPr>
      <w:r>
        <w:rPr>
          <w:lang w:val="en-US"/>
        </w:rPr>
        <w:t>In this contribution</w:t>
      </w:r>
      <w:r w:rsidR="00201E1D">
        <w:rPr>
          <w:lang w:val="en-US"/>
        </w:rPr>
        <w:t xml:space="preserve"> we focused on the beam correspondence requirement to be specified in TS 38.101-2</w:t>
      </w:r>
      <w:r w:rsidR="00535D11">
        <w:rPr>
          <w:lang w:val="en-US"/>
        </w:rPr>
        <w:t xml:space="preserve"> and we made the following two proposals:</w:t>
      </w:r>
      <w:r w:rsidR="00201E1D">
        <w:rPr>
          <w:b/>
          <w:i/>
          <w:color w:val="000000"/>
          <w:lang w:val="en-US"/>
        </w:rPr>
        <w:t xml:space="preserve"> </w:t>
      </w:r>
    </w:p>
    <w:p w14:paraId="04FDD0A6" w14:textId="77777777" w:rsidR="00535D11" w:rsidRPr="00901B12" w:rsidRDefault="00535D11" w:rsidP="00535D11">
      <w:pPr>
        <w:jc w:val="both"/>
        <w:rPr>
          <w:b/>
          <w:i/>
          <w:color w:val="000000"/>
          <w:lang w:val="en-US"/>
        </w:rPr>
      </w:pPr>
      <w:r w:rsidRPr="00901B12">
        <w:rPr>
          <w:b/>
          <w:i/>
          <w:color w:val="000000"/>
          <w:lang w:val="en-US"/>
        </w:rPr>
        <w:t xml:space="preserve">Proposal </w:t>
      </w:r>
      <w:r>
        <w:rPr>
          <w:b/>
          <w:i/>
          <w:color w:val="000000"/>
          <w:lang w:val="en-US"/>
        </w:rPr>
        <w:t>1</w:t>
      </w:r>
      <w:r w:rsidRPr="00901B12">
        <w:rPr>
          <w:b/>
          <w:i/>
          <w:color w:val="000000"/>
          <w:lang w:val="en-US"/>
        </w:rPr>
        <w:t>:</w:t>
      </w:r>
      <w:r>
        <w:rPr>
          <w:b/>
          <w:i/>
          <w:color w:val="000000"/>
          <w:lang w:val="en-US"/>
        </w:rPr>
        <w:t xml:space="preserve"> definition of beam correspondence requirement in TS 38.101-2:</w:t>
      </w:r>
    </w:p>
    <w:p w14:paraId="183A1B3E" w14:textId="77777777" w:rsidR="00535D11" w:rsidRPr="00535D11" w:rsidRDefault="00535D11" w:rsidP="00535D11">
      <w:pPr>
        <w:ind w:left="284"/>
        <w:rPr>
          <w:b/>
          <w:i/>
          <w:lang w:val="en-US"/>
        </w:rPr>
      </w:pPr>
      <w:r w:rsidRPr="00535D11">
        <w:rPr>
          <w:b/>
          <w:i/>
          <w:lang w:val="en-US"/>
        </w:rPr>
        <w:t xml:space="preserve">The beam correspondence requirement measures the ability of the UE to select a corresponding beam for UL transmission based on DL measurements. </w:t>
      </w:r>
    </w:p>
    <w:p w14:paraId="0833D013" w14:textId="43CCB8CB" w:rsidR="00535D11" w:rsidRPr="00535D11" w:rsidRDefault="00535D11" w:rsidP="00535D11">
      <w:pPr>
        <w:ind w:left="284"/>
        <w:rPr>
          <w:b/>
          <w:i/>
          <w:lang w:val="en-US"/>
        </w:rPr>
      </w:pPr>
      <w:r w:rsidRPr="00535D11">
        <w:rPr>
          <w:b/>
          <w:i/>
          <w:lang w:val="en-US"/>
        </w:rPr>
        <w:t xml:space="preserve">For any link direction between UE and BS, the selected beam for UL transmission is a corresponding beam if the difference between the UE EIRP measured for the selected beam and the maximum achievable EIRP in the same direction is within the tolerance </w:t>
      </w:r>
      <w:r w:rsidR="00D23643">
        <w:rPr>
          <w:b/>
          <w:i/>
          <w:lang w:val="en-US"/>
        </w:rPr>
        <w:t>specified</w:t>
      </w:r>
      <w:r w:rsidRPr="00535D11">
        <w:rPr>
          <w:b/>
          <w:i/>
          <w:lang w:val="en-US"/>
        </w:rPr>
        <w:t xml:space="preserve"> in Table 1. </w:t>
      </w:r>
    </w:p>
    <w:p w14:paraId="46C2255F" w14:textId="77777777" w:rsidR="00535D11" w:rsidRPr="00535D11" w:rsidRDefault="00535D11" w:rsidP="00535D11">
      <w:pPr>
        <w:ind w:left="284"/>
        <w:rPr>
          <w:b/>
          <w:i/>
          <w:lang w:val="en-US"/>
        </w:rPr>
      </w:pPr>
      <w:r w:rsidRPr="00535D11">
        <w:rPr>
          <w:b/>
          <w:i/>
          <w:lang w:val="en-US"/>
        </w:rPr>
        <w:t>To UE shall be able to select a corresponding beam in any link direction.</w:t>
      </w:r>
    </w:p>
    <w:p w14:paraId="21207765" w14:textId="77777777" w:rsidR="00535D11" w:rsidRPr="00535D11" w:rsidRDefault="00535D11" w:rsidP="00535D11">
      <w:pPr>
        <w:pStyle w:val="TH"/>
        <w:ind w:left="284"/>
        <w:rPr>
          <w:i/>
        </w:rPr>
      </w:pPr>
      <w:r w:rsidRPr="00535D11">
        <w:rPr>
          <w:i/>
        </w:rPr>
        <w:t xml:space="preserve">Table </w:t>
      </w:r>
      <w:r>
        <w:rPr>
          <w:i/>
        </w:rPr>
        <w:t>1</w:t>
      </w:r>
      <w:r w:rsidRPr="00535D11">
        <w:rPr>
          <w:i/>
        </w:rPr>
        <w:t>: NR UE beam correspondence tolerance</w:t>
      </w:r>
    </w:p>
    <w:tbl>
      <w:tblPr>
        <w:tblW w:w="0" w:type="auto"/>
        <w:tblInd w:w="2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tblGrid>
      <w:tr w:rsidR="00535D11" w:rsidRPr="00535D11" w14:paraId="6E3D752B" w14:textId="77777777" w:rsidTr="004B1881">
        <w:tc>
          <w:tcPr>
            <w:tcW w:w="1606" w:type="dxa"/>
            <w:shd w:val="clear" w:color="auto" w:fill="auto"/>
            <w:vAlign w:val="center"/>
          </w:tcPr>
          <w:p w14:paraId="759114E9" w14:textId="77777777" w:rsidR="00535D11" w:rsidRPr="00535D11" w:rsidRDefault="00535D11" w:rsidP="004B1881">
            <w:pPr>
              <w:pStyle w:val="TAH"/>
              <w:rPr>
                <w:rFonts w:eastAsia="Calibri"/>
                <w:i/>
                <w:szCs w:val="22"/>
              </w:rPr>
            </w:pPr>
            <w:r w:rsidRPr="00535D11">
              <w:rPr>
                <w:rFonts w:eastAsia="Calibri"/>
                <w:i/>
                <w:szCs w:val="22"/>
              </w:rPr>
              <w:t>NR band</w:t>
            </w:r>
          </w:p>
        </w:tc>
        <w:tc>
          <w:tcPr>
            <w:tcW w:w="1628" w:type="dxa"/>
            <w:shd w:val="clear" w:color="auto" w:fill="auto"/>
            <w:vAlign w:val="center"/>
          </w:tcPr>
          <w:p w14:paraId="59DC29D3" w14:textId="77777777" w:rsidR="00535D11" w:rsidRPr="00535D11" w:rsidRDefault="00535D11" w:rsidP="004B1881">
            <w:pPr>
              <w:pStyle w:val="TAH"/>
              <w:rPr>
                <w:rFonts w:eastAsia="Calibri"/>
                <w:i/>
                <w:szCs w:val="22"/>
              </w:rPr>
            </w:pPr>
            <w:r w:rsidRPr="00535D11">
              <w:rPr>
                <w:rFonts w:eastAsia="Calibri"/>
                <w:i/>
                <w:szCs w:val="22"/>
              </w:rPr>
              <w:t>Beam correspondence tolerance (dB)</w:t>
            </w:r>
          </w:p>
        </w:tc>
      </w:tr>
      <w:tr w:rsidR="00535D11" w:rsidRPr="00535D11" w14:paraId="777D3EE0" w14:textId="77777777" w:rsidTr="004B1881">
        <w:tc>
          <w:tcPr>
            <w:tcW w:w="1606" w:type="dxa"/>
            <w:shd w:val="clear" w:color="auto" w:fill="auto"/>
          </w:tcPr>
          <w:p w14:paraId="46C4D394" w14:textId="77777777" w:rsidR="00535D11" w:rsidRPr="00535D11" w:rsidRDefault="00535D11" w:rsidP="004B1881">
            <w:pPr>
              <w:pStyle w:val="TAC"/>
              <w:rPr>
                <w:rFonts w:eastAsia="Calibri"/>
                <w:b/>
                <w:i/>
                <w:szCs w:val="22"/>
              </w:rPr>
            </w:pPr>
            <w:r w:rsidRPr="00535D11">
              <w:rPr>
                <w:rFonts w:eastAsia="Calibri"/>
                <w:b/>
                <w:i/>
                <w:szCs w:val="22"/>
              </w:rPr>
              <w:t>n257</w:t>
            </w:r>
          </w:p>
        </w:tc>
        <w:tc>
          <w:tcPr>
            <w:tcW w:w="1628" w:type="dxa"/>
            <w:shd w:val="clear" w:color="auto" w:fill="auto"/>
            <w:vAlign w:val="center"/>
          </w:tcPr>
          <w:p w14:paraId="07F5B068" w14:textId="4E24BF2C" w:rsidR="00535D11" w:rsidRPr="00535D11" w:rsidRDefault="00535D11" w:rsidP="004B1881">
            <w:pPr>
              <w:pStyle w:val="TAC"/>
              <w:rPr>
                <w:rFonts w:eastAsia="Calibri"/>
                <w:b/>
                <w:i/>
                <w:szCs w:val="22"/>
              </w:rPr>
            </w:pPr>
            <w:r w:rsidRPr="00535D11">
              <w:rPr>
                <w:rFonts w:eastAsia="Calibri"/>
                <w:b/>
                <w:i/>
                <w:szCs w:val="22"/>
              </w:rPr>
              <w:t>[</w:t>
            </w:r>
            <w:r w:rsidR="00BC2B7E">
              <w:rPr>
                <w:rFonts w:eastAsia="Calibri"/>
                <w:b/>
                <w:i/>
                <w:szCs w:val="22"/>
              </w:rPr>
              <w:t>TBD</w:t>
            </w:r>
            <w:r w:rsidRPr="00535D11">
              <w:rPr>
                <w:rFonts w:eastAsia="Calibri"/>
                <w:b/>
                <w:i/>
                <w:szCs w:val="22"/>
              </w:rPr>
              <w:t>]</w:t>
            </w:r>
          </w:p>
        </w:tc>
      </w:tr>
      <w:tr w:rsidR="00535D11" w:rsidRPr="00535D11" w14:paraId="411F48F8" w14:textId="77777777" w:rsidTr="004B1881">
        <w:tc>
          <w:tcPr>
            <w:tcW w:w="1606" w:type="dxa"/>
            <w:shd w:val="clear" w:color="auto" w:fill="auto"/>
          </w:tcPr>
          <w:p w14:paraId="1AE200F4" w14:textId="77777777" w:rsidR="00535D11" w:rsidRPr="00535D11" w:rsidRDefault="00535D11" w:rsidP="004B1881">
            <w:pPr>
              <w:pStyle w:val="TAC"/>
              <w:rPr>
                <w:rFonts w:eastAsia="Calibri"/>
                <w:b/>
                <w:i/>
                <w:szCs w:val="22"/>
              </w:rPr>
            </w:pPr>
            <w:r w:rsidRPr="00535D11">
              <w:rPr>
                <w:rFonts w:eastAsia="Calibri"/>
                <w:b/>
                <w:i/>
                <w:szCs w:val="22"/>
              </w:rPr>
              <w:t>n258</w:t>
            </w:r>
          </w:p>
        </w:tc>
        <w:tc>
          <w:tcPr>
            <w:tcW w:w="1628" w:type="dxa"/>
            <w:shd w:val="clear" w:color="auto" w:fill="auto"/>
            <w:vAlign w:val="center"/>
          </w:tcPr>
          <w:p w14:paraId="6B4B4191" w14:textId="3C2F8393" w:rsidR="00535D11" w:rsidRPr="00535D11" w:rsidRDefault="00535D11" w:rsidP="004B1881">
            <w:pPr>
              <w:pStyle w:val="TAC"/>
              <w:rPr>
                <w:rFonts w:eastAsia="Calibri"/>
                <w:b/>
                <w:i/>
                <w:szCs w:val="22"/>
              </w:rPr>
            </w:pPr>
            <w:r w:rsidRPr="00535D11">
              <w:rPr>
                <w:rFonts w:eastAsia="Calibri"/>
                <w:b/>
                <w:i/>
                <w:szCs w:val="22"/>
              </w:rPr>
              <w:t>[</w:t>
            </w:r>
            <w:r w:rsidR="00BC2B7E">
              <w:rPr>
                <w:rFonts w:eastAsia="Calibri"/>
                <w:b/>
                <w:i/>
                <w:szCs w:val="22"/>
              </w:rPr>
              <w:t>TBD</w:t>
            </w:r>
            <w:r w:rsidRPr="00535D11">
              <w:rPr>
                <w:rFonts w:eastAsia="Calibri"/>
                <w:b/>
                <w:i/>
                <w:szCs w:val="22"/>
              </w:rPr>
              <w:t>]</w:t>
            </w:r>
          </w:p>
        </w:tc>
      </w:tr>
      <w:tr w:rsidR="00535D11" w:rsidRPr="00535D11" w14:paraId="029262A6" w14:textId="77777777" w:rsidTr="004B1881">
        <w:tc>
          <w:tcPr>
            <w:tcW w:w="1606" w:type="dxa"/>
            <w:shd w:val="clear" w:color="auto" w:fill="auto"/>
          </w:tcPr>
          <w:p w14:paraId="683F1E25" w14:textId="77777777" w:rsidR="00535D11" w:rsidRPr="00535D11" w:rsidRDefault="00535D11" w:rsidP="004B1881">
            <w:pPr>
              <w:pStyle w:val="TAC"/>
              <w:rPr>
                <w:rFonts w:eastAsia="Calibri"/>
                <w:b/>
                <w:i/>
                <w:szCs w:val="22"/>
              </w:rPr>
            </w:pPr>
            <w:r w:rsidRPr="00535D11">
              <w:rPr>
                <w:rFonts w:eastAsia="Calibri"/>
                <w:b/>
                <w:i/>
                <w:szCs w:val="22"/>
              </w:rPr>
              <w:t>n260</w:t>
            </w:r>
          </w:p>
        </w:tc>
        <w:tc>
          <w:tcPr>
            <w:tcW w:w="1628" w:type="dxa"/>
            <w:shd w:val="clear" w:color="auto" w:fill="auto"/>
            <w:vAlign w:val="center"/>
          </w:tcPr>
          <w:p w14:paraId="5874594A" w14:textId="3F95A724" w:rsidR="00535D11" w:rsidRPr="00535D11" w:rsidRDefault="00535D11" w:rsidP="004B1881">
            <w:pPr>
              <w:pStyle w:val="TAC"/>
              <w:rPr>
                <w:rFonts w:eastAsia="Calibri"/>
                <w:b/>
                <w:i/>
                <w:szCs w:val="22"/>
              </w:rPr>
            </w:pPr>
            <w:r w:rsidRPr="00535D11">
              <w:rPr>
                <w:rFonts w:eastAsia="Calibri"/>
                <w:b/>
                <w:i/>
                <w:szCs w:val="22"/>
              </w:rPr>
              <w:t>[</w:t>
            </w:r>
            <w:r w:rsidR="00770973">
              <w:rPr>
                <w:rFonts w:eastAsia="Calibri"/>
                <w:b/>
                <w:i/>
                <w:szCs w:val="22"/>
              </w:rPr>
              <w:t>TBD</w:t>
            </w:r>
            <w:r w:rsidRPr="00535D11">
              <w:rPr>
                <w:rFonts w:eastAsia="Calibri"/>
                <w:b/>
                <w:i/>
                <w:szCs w:val="22"/>
              </w:rPr>
              <w:t>]</w:t>
            </w:r>
          </w:p>
        </w:tc>
      </w:tr>
      <w:tr w:rsidR="00535D11" w:rsidRPr="00535D11" w14:paraId="460D257C" w14:textId="77777777" w:rsidTr="004B1881">
        <w:tc>
          <w:tcPr>
            <w:tcW w:w="1606" w:type="dxa"/>
            <w:shd w:val="clear" w:color="auto" w:fill="auto"/>
          </w:tcPr>
          <w:p w14:paraId="44DF29F6" w14:textId="77777777" w:rsidR="00535D11" w:rsidRPr="00535D11" w:rsidRDefault="00535D11" w:rsidP="004B1881">
            <w:pPr>
              <w:pStyle w:val="TAC"/>
              <w:rPr>
                <w:rFonts w:eastAsia="Calibri"/>
                <w:b/>
                <w:i/>
                <w:szCs w:val="22"/>
              </w:rPr>
            </w:pPr>
            <w:r w:rsidRPr="00535D11">
              <w:rPr>
                <w:rFonts w:eastAsia="Calibri"/>
                <w:b/>
                <w:i/>
                <w:szCs w:val="22"/>
              </w:rPr>
              <w:t>n261</w:t>
            </w:r>
          </w:p>
        </w:tc>
        <w:tc>
          <w:tcPr>
            <w:tcW w:w="1628" w:type="dxa"/>
            <w:shd w:val="clear" w:color="auto" w:fill="auto"/>
            <w:vAlign w:val="center"/>
          </w:tcPr>
          <w:p w14:paraId="405989ED" w14:textId="4CECA9CC" w:rsidR="00535D11" w:rsidRPr="00535D11" w:rsidRDefault="00535D11" w:rsidP="004B1881">
            <w:pPr>
              <w:pStyle w:val="TAC"/>
              <w:rPr>
                <w:rFonts w:eastAsia="Calibri"/>
                <w:b/>
                <w:i/>
                <w:szCs w:val="22"/>
              </w:rPr>
            </w:pPr>
            <w:r w:rsidRPr="00535D11">
              <w:rPr>
                <w:rFonts w:eastAsia="Calibri"/>
                <w:b/>
                <w:i/>
                <w:szCs w:val="22"/>
              </w:rPr>
              <w:t>[</w:t>
            </w:r>
            <w:r w:rsidR="00770973">
              <w:rPr>
                <w:rFonts w:eastAsia="Calibri"/>
                <w:b/>
                <w:i/>
                <w:szCs w:val="22"/>
              </w:rPr>
              <w:t>TBD</w:t>
            </w:r>
            <w:bookmarkStart w:id="1" w:name="_GoBack"/>
            <w:bookmarkEnd w:id="1"/>
            <w:r w:rsidRPr="00535D11">
              <w:rPr>
                <w:rFonts w:eastAsia="Calibri"/>
                <w:b/>
                <w:i/>
                <w:szCs w:val="22"/>
              </w:rPr>
              <w:t>]</w:t>
            </w:r>
          </w:p>
        </w:tc>
      </w:tr>
    </w:tbl>
    <w:p w14:paraId="0163DE77" w14:textId="77777777" w:rsidR="00535D11" w:rsidRDefault="00535D11" w:rsidP="00535D11">
      <w:pPr>
        <w:jc w:val="both"/>
        <w:rPr>
          <w:color w:val="000000"/>
          <w:lang w:val="en-US"/>
        </w:rPr>
      </w:pPr>
    </w:p>
    <w:p w14:paraId="73AD112E" w14:textId="77777777" w:rsidR="00535D11" w:rsidRPr="00535D11" w:rsidRDefault="00535D11" w:rsidP="00535D11">
      <w:pPr>
        <w:jc w:val="both"/>
        <w:rPr>
          <w:b/>
          <w:i/>
          <w:color w:val="000000"/>
          <w:lang w:val="en-US"/>
        </w:rPr>
      </w:pPr>
      <w:r w:rsidRPr="00535D11">
        <w:rPr>
          <w:b/>
          <w:i/>
          <w:color w:val="000000"/>
          <w:lang w:val="en-US"/>
        </w:rPr>
        <w:t>Proposal 2:</w:t>
      </w:r>
      <w:r>
        <w:rPr>
          <w:b/>
          <w:i/>
          <w:color w:val="000000"/>
          <w:lang w:val="en-US"/>
        </w:rPr>
        <w:t xml:space="preserve"> </w:t>
      </w:r>
      <w:r w:rsidRPr="00535D11">
        <w:rPr>
          <w:b/>
          <w:i/>
          <w:color w:val="000000"/>
          <w:lang w:val="en-US"/>
        </w:rPr>
        <w:t>In case RAN4 is not able to finalize details about testing procedure in RAN4 #87</w:t>
      </w:r>
      <w:r>
        <w:rPr>
          <w:b/>
          <w:i/>
          <w:color w:val="000000"/>
          <w:lang w:val="en-US"/>
        </w:rPr>
        <w:t>,</w:t>
      </w:r>
      <w:r w:rsidRPr="00535D11">
        <w:rPr>
          <w:b/>
          <w:i/>
          <w:color w:val="000000"/>
          <w:lang w:val="en-US"/>
        </w:rPr>
        <w:t xml:space="preserve"> a minimum </w:t>
      </w:r>
      <w:r>
        <w:rPr>
          <w:b/>
          <w:i/>
          <w:color w:val="000000"/>
          <w:lang w:val="en-US"/>
        </w:rPr>
        <w:t xml:space="preserve">requirement for beam correspondence </w:t>
      </w:r>
      <w:r w:rsidRPr="00535D11">
        <w:rPr>
          <w:b/>
          <w:i/>
          <w:color w:val="000000"/>
          <w:lang w:val="en-US"/>
        </w:rPr>
        <w:t xml:space="preserve">according to Proposal 1 </w:t>
      </w:r>
      <w:r>
        <w:rPr>
          <w:b/>
          <w:i/>
          <w:color w:val="000000"/>
          <w:lang w:val="en-US"/>
        </w:rPr>
        <w:t xml:space="preserve">should be introduced in TS 38.101-2, while </w:t>
      </w:r>
      <w:r w:rsidRPr="00535D11">
        <w:rPr>
          <w:b/>
          <w:i/>
          <w:color w:val="000000"/>
          <w:lang w:val="en-US"/>
        </w:rPr>
        <w:t xml:space="preserve">the testing procedure </w:t>
      </w:r>
      <w:r>
        <w:rPr>
          <w:b/>
          <w:i/>
          <w:color w:val="000000"/>
          <w:lang w:val="en-US"/>
        </w:rPr>
        <w:t xml:space="preserve">could be finalized </w:t>
      </w:r>
      <w:r w:rsidRPr="00535D11">
        <w:rPr>
          <w:b/>
          <w:i/>
          <w:color w:val="000000"/>
          <w:lang w:val="en-US"/>
        </w:rPr>
        <w:t>in future RAN4 meetings</w:t>
      </w:r>
      <w:r>
        <w:rPr>
          <w:b/>
          <w:i/>
          <w:color w:val="000000"/>
          <w:lang w:val="en-US"/>
        </w:rPr>
        <w:t>.</w:t>
      </w:r>
    </w:p>
    <w:p w14:paraId="429C65E5" w14:textId="6E97A87C" w:rsidR="00535D11" w:rsidRPr="00535D11" w:rsidRDefault="00535D11" w:rsidP="00535D11">
      <w:pPr>
        <w:rPr>
          <w:lang w:val="en-US"/>
        </w:rPr>
      </w:pPr>
      <w:r>
        <w:rPr>
          <w:lang w:val="en-US"/>
        </w:rPr>
        <w:t xml:space="preserve">Proposal 1 is implemented in </w:t>
      </w:r>
      <w:r>
        <w:rPr>
          <w:lang w:val="en-US"/>
        </w:rPr>
        <w:fldChar w:fldCharType="begin"/>
      </w:r>
      <w:r>
        <w:rPr>
          <w:lang w:val="en-US"/>
        </w:rPr>
        <w:instrText xml:space="preserve"> REF _Ref513816540 \r \h </w:instrText>
      </w:r>
      <w:r>
        <w:rPr>
          <w:lang w:val="en-US"/>
        </w:rPr>
      </w:r>
      <w:r>
        <w:rPr>
          <w:lang w:val="en-US"/>
        </w:rPr>
        <w:fldChar w:fldCharType="separate"/>
      </w:r>
      <w:r>
        <w:rPr>
          <w:lang w:val="en-US"/>
        </w:rPr>
        <w:t>[5]</w:t>
      </w:r>
      <w:r>
        <w:rPr>
          <w:lang w:val="en-US"/>
        </w:rPr>
        <w:fldChar w:fldCharType="end"/>
      </w:r>
      <w:r w:rsidR="00BA4273">
        <w:rPr>
          <w:lang w:val="en-US"/>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467AB260" w14:textId="2D242DDE" w:rsidR="00B47DD5" w:rsidRDefault="00B47DD5" w:rsidP="00B47DD5">
      <w:pPr>
        <w:pStyle w:val="ListParagraph"/>
        <w:numPr>
          <w:ilvl w:val="0"/>
          <w:numId w:val="2"/>
        </w:numPr>
        <w:rPr>
          <w:lang w:val="en-US"/>
        </w:rPr>
      </w:pPr>
      <w:bookmarkStart w:id="2" w:name="_Ref510694526"/>
      <w:bookmarkStart w:id="3" w:name="_Ref510622279"/>
      <w:bookmarkStart w:id="4" w:name="_Ref498001918"/>
      <w:bookmarkStart w:id="5" w:name="_Ref489522242"/>
      <w:bookmarkStart w:id="6" w:name="_Ref489521993"/>
      <w:bookmarkStart w:id="7" w:name="_Ref481663184"/>
      <w:bookmarkStart w:id="8" w:name="_Ref473813022"/>
      <w:bookmarkStart w:id="9" w:name="_Ref465947019"/>
      <w:r>
        <w:rPr>
          <w:rFonts w:hint="eastAsia"/>
          <w:lang w:val="en-US" w:eastAsia="ja-JP"/>
        </w:rPr>
        <w:t>R</w:t>
      </w:r>
      <w:r>
        <w:rPr>
          <w:lang w:val="en-US" w:eastAsia="ja-JP"/>
        </w:rPr>
        <w:t>4-1700190, “</w:t>
      </w:r>
      <w:r w:rsidRPr="00C367A3">
        <w:rPr>
          <w:lang w:val="en-US" w:eastAsia="ja-JP"/>
        </w:rPr>
        <w:t>Beam Correspondence for NR</w:t>
      </w:r>
      <w:r>
        <w:rPr>
          <w:lang w:val="en-US" w:eastAsia="ja-JP"/>
        </w:rPr>
        <w:t>”, Qualcomm Incorporated.</w:t>
      </w:r>
      <w:bookmarkEnd w:id="2"/>
    </w:p>
    <w:p w14:paraId="6000710B" w14:textId="6680A772" w:rsidR="00183F44" w:rsidRDefault="00183F44" w:rsidP="00183F44">
      <w:pPr>
        <w:pStyle w:val="ListParagraph"/>
        <w:numPr>
          <w:ilvl w:val="0"/>
          <w:numId w:val="2"/>
        </w:numPr>
        <w:rPr>
          <w:lang w:val="en-US"/>
        </w:rPr>
      </w:pPr>
      <w:bookmarkStart w:id="10" w:name="_Ref510695498"/>
      <w:r w:rsidRPr="00183F44">
        <w:rPr>
          <w:lang w:val="en-US"/>
        </w:rPr>
        <w:t>R1-1610971</w:t>
      </w:r>
      <w:r>
        <w:rPr>
          <w:lang w:val="en-US"/>
        </w:rPr>
        <w:t>, “</w:t>
      </w:r>
      <w:r w:rsidRPr="00183F44">
        <w:rPr>
          <w:lang w:val="en-US"/>
        </w:rPr>
        <w:t xml:space="preserve">Way Forward on the definition of beam </w:t>
      </w:r>
      <w:r>
        <w:rPr>
          <w:lang w:val="en-US"/>
        </w:rPr>
        <w:t xml:space="preserve">reciprocity”, </w:t>
      </w:r>
      <w:r w:rsidRPr="00183F44">
        <w:rPr>
          <w:lang w:val="en-US"/>
        </w:rPr>
        <w:t xml:space="preserve">Samsung, Qualcomm, </w:t>
      </w:r>
      <w:proofErr w:type="spellStart"/>
      <w:r w:rsidRPr="00183F44">
        <w:rPr>
          <w:lang w:val="en-US"/>
        </w:rPr>
        <w:t>InterDigital</w:t>
      </w:r>
      <w:proofErr w:type="spellEnd"/>
      <w:r w:rsidRPr="00183F44">
        <w:rPr>
          <w:lang w:val="en-US"/>
        </w:rPr>
        <w:t xml:space="preserve">, Intel, IITM, IITH, </w:t>
      </w:r>
      <w:proofErr w:type="spellStart"/>
      <w:r w:rsidRPr="00183F44">
        <w:rPr>
          <w:lang w:val="en-US"/>
        </w:rPr>
        <w:t>CeWIT</w:t>
      </w:r>
      <w:proofErr w:type="spellEnd"/>
      <w:r w:rsidRPr="00183F44">
        <w:rPr>
          <w:lang w:val="en-US"/>
        </w:rPr>
        <w:t xml:space="preserve">, </w:t>
      </w:r>
      <w:proofErr w:type="spellStart"/>
      <w:r w:rsidRPr="00183F44">
        <w:rPr>
          <w:lang w:val="en-US"/>
        </w:rPr>
        <w:t>Tejas</w:t>
      </w:r>
      <w:proofErr w:type="spellEnd"/>
      <w:r w:rsidRPr="00183F44">
        <w:rPr>
          <w:lang w:val="en-US"/>
        </w:rPr>
        <w:t xml:space="preserve"> Networks, KT, MediaTek, AT&amp;T, Verizon, Motorola Mobility, Reliance </w:t>
      </w:r>
      <w:proofErr w:type="spellStart"/>
      <w:r w:rsidRPr="00183F44">
        <w:rPr>
          <w:lang w:val="en-US"/>
        </w:rPr>
        <w:t>Jio</w:t>
      </w:r>
      <w:proofErr w:type="spellEnd"/>
      <w:r w:rsidR="001F7671">
        <w:rPr>
          <w:lang w:val="en-US"/>
        </w:rPr>
        <w:t>.</w:t>
      </w:r>
      <w:bookmarkEnd w:id="10"/>
    </w:p>
    <w:p w14:paraId="70A4B394" w14:textId="789C914E" w:rsidR="00E5535B" w:rsidRDefault="00E5535B" w:rsidP="00E5535B">
      <w:pPr>
        <w:pStyle w:val="ListParagraph"/>
        <w:numPr>
          <w:ilvl w:val="0"/>
          <w:numId w:val="2"/>
        </w:numPr>
        <w:rPr>
          <w:lang w:val="en-US"/>
        </w:rPr>
      </w:pPr>
      <w:bookmarkStart w:id="11" w:name="_Ref513816174"/>
      <w:r>
        <w:rPr>
          <w:lang w:val="en-US"/>
        </w:rPr>
        <w:t>R4-1805703, “</w:t>
      </w:r>
      <w:r w:rsidRPr="00E5535B">
        <w:rPr>
          <w:lang w:val="en-US"/>
        </w:rPr>
        <w:t>WF on beam correspondence test methodology at FR2</w:t>
      </w:r>
      <w:r>
        <w:rPr>
          <w:lang w:val="en-US"/>
        </w:rPr>
        <w:t xml:space="preserve">”, </w:t>
      </w:r>
      <w:r w:rsidRPr="00E5535B">
        <w:rPr>
          <w:lang w:val="en-US"/>
        </w:rPr>
        <w:t>LG Electronics, Qualcomm Incorporated, MediaTek</w:t>
      </w:r>
      <w:r>
        <w:rPr>
          <w:lang w:val="en-US"/>
        </w:rPr>
        <w:t>.</w:t>
      </w:r>
      <w:bookmarkEnd w:id="11"/>
    </w:p>
    <w:p w14:paraId="1D798625" w14:textId="515D205B" w:rsidR="00E5535B" w:rsidRPr="00535D11" w:rsidRDefault="00E5535B" w:rsidP="00183F44">
      <w:pPr>
        <w:pStyle w:val="ListParagraph"/>
        <w:numPr>
          <w:ilvl w:val="0"/>
          <w:numId w:val="2"/>
        </w:numPr>
        <w:rPr>
          <w:lang w:val="en-US"/>
        </w:rPr>
      </w:pPr>
      <w:bookmarkStart w:id="12" w:name="_Ref513816206"/>
      <w:r w:rsidRPr="00E5535B">
        <w:rPr>
          <w:lang w:val="en-US"/>
        </w:rPr>
        <w:t>R4-180466</w:t>
      </w:r>
      <w:r w:rsidR="00E4213D">
        <w:rPr>
          <w:lang w:val="en-US"/>
        </w:rPr>
        <w:t>1</w:t>
      </w:r>
      <w:r w:rsidRPr="00E5535B">
        <w:rPr>
          <w:lang w:val="en-US"/>
        </w:rPr>
        <w:t xml:space="preserve">: </w:t>
      </w:r>
      <w:r>
        <w:rPr>
          <w:lang w:val="en-US"/>
        </w:rPr>
        <w:t>“D</w:t>
      </w:r>
      <w:proofErr w:type="spellStart"/>
      <w:r w:rsidRPr="00E5535B">
        <w:t>efinition</w:t>
      </w:r>
      <w:proofErr w:type="spellEnd"/>
      <w:r w:rsidRPr="00E5535B">
        <w:t xml:space="preserve"> of UE beam correspondence requirement for FR</w:t>
      </w:r>
      <w:r>
        <w:t>”, Qualcomm Incorporated.</w:t>
      </w:r>
      <w:bookmarkEnd w:id="12"/>
    </w:p>
    <w:p w14:paraId="0B83E95F" w14:textId="24E79C0D" w:rsidR="00535D11" w:rsidRDefault="00A13171" w:rsidP="00A13171">
      <w:pPr>
        <w:pStyle w:val="ListParagraph"/>
        <w:numPr>
          <w:ilvl w:val="0"/>
          <w:numId w:val="2"/>
        </w:numPr>
        <w:rPr>
          <w:lang w:val="en-US"/>
        </w:rPr>
      </w:pPr>
      <w:bookmarkStart w:id="13" w:name="_Ref513816540"/>
      <w:r w:rsidRPr="00A13171">
        <w:rPr>
          <w:lang w:val="en-US"/>
        </w:rPr>
        <w:t>R4-1807657</w:t>
      </w:r>
      <w:r w:rsidR="00535D11">
        <w:rPr>
          <w:lang w:val="en-US"/>
        </w:rPr>
        <w:t>: “</w:t>
      </w:r>
      <w:r w:rsidR="00535D11" w:rsidRPr="00167EF2">
        <w:rPr>
          <w:noProof/>
        </w:rPr>
        <w:t>Implementation of beam correspondence requirement</w:t>
      </w:r>
      <w:r w:rsidR="00535D11">
        <w:rPr>
          <w:lang w:val="en-US"/>
        </w:rPr>
        <w:t xml:space="preserve">”, Qualcomm </w:t>
      </w:r>
      <w:r w:rsidR="00535D11">
        <w:t>Incorporated</w:t>
      </w:r>
      <w:r w:rsidR="00535D11">
        <w:rPr>
          <w:lang w:val="en-US"/>
        </w:rPr>
        <w:t>.</w:t>
      </w:r>
      <w:bookmarkEnd w:id="13"/>
    </w:p>
    <w:bookmarkEnd w:id="3"/>
    <w:bookmarkEnd w:id="4"/>
    <w:bookmarkEnd w:id="5"/>
    <w:bookmarkEnd w:id="6"/>
    <w:bookmarkEnd w:id="7"/>
    <w:bookmarkEnd w:id="8"/>
    <w:bookmarkEnd w:id="9"/>
    <w:p w14:paraId="76E86248" w14:textId="68F3AF20" w:rsidR="007273E3" w:rsidRDefault="007273E3" w:rsidP="00535D11">
      <w:pPr>
        <w:pStyle w:val="ListParagraph"/>
        <w:ind w:left="360"/>
        <w:jc w:val="both"/>
        <w:rPr>
          <w:lang w:val="en-US"/>
        </w:rPr>
      </w:pPr>
    </w:p>
    <w:sectPr w:rsidR="007273E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C60D" w14:textId="77777777" w:rsidR="00662F5C" w:rsidRDefault="00662F5C">
      <w:r>
        <w:separator/>
      </w:r>
    </w:p>
  </w:endnote>
  <w:endnote w:type="continuationSeparator" w:id="0">
    <w:p w14:paraId="519C7880" w14:textId="77777777" w:rsidR="00662F5C" w:rsidRDefault="0066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070F8" w14:textId="77777777" w:rsidR="00662F5C" w:rsidRDefault="00662F5C">
      <w:r>
        <w:separator/>
      </w:r>
    </w:p>
  </w:footnote>
  <w:footnote w:type="continuationSeparator" w:id="0">
    <w:p w14:paraId="2ABAF303" w14:textId="77777777" w:rsidR="00662F5C" w:rsidRDefault="00662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7064C"/>
    <w:multiLevelType w:val="hybridMultilevel"/>
    <w:tmpl w:val="94202112"/>
    <w:lvl w:ilvl="0" w:tplc="31AE719A">
      <w:start w:val="1"/>
      <w:numFmt w:val="bullet"/>
      <w:lvlText w:val="–"/>
      <w:lvlJc w:val="left"/>
      <w:pPr>
        <w:tabs>
          <w:tab w:val="num" w:pos="360"/>
        </w:tabs>
        <w:ind w:left="360" w:hanging="360"/>
      </w:pPr>
      <w:rPr>
        <w:rFonts w:ascii="Arial" w:hAnsi="Arial" w:hint="default"/>
      </w:rPr>
    </w:lvl>
    <w:lvl w:ilvl="1" w:tplc="B2DA0B36">
      <w:start w:val="1"/>
      <w:numFmt w:val="bullet"/>
      <w:lvlText w:val="–"/>
      <w:lvlJc w:val="left"/>
      <w:pPr>
        <w:tabs>
          <w:tab w:val="num" w:pos="1080"/>
        </w:tabs>
        <w:ind w:left="1080" w:hanging="360"/>
      </w:pPr>
      <w:rPr>
        <w:rFonts w:ascii="Arial" w:hAnsi="Arial" w:hint="default"/>
      </w:rPr>
    </w:lvl>
    <w:lvl w:ilvl="2" w:tplc="51A81598">
      <w:start w:val="142"/>
      <w:numFmt w:val="bullet"/>
      <w:lvlText w:val="•"/>
      <w:lvlJc w:val="left"/>
      <w:pPr>
        <w:tabs>
          <w:tab w:val="num" w:pos="1800"/>
        </w:tabs>
        <w:ind w:left="1800" w:hanging="360"/>
      </w:pPr>
      <w:rPr>
        <w:rFonts w:ascii="Arial" w:hAnsi="Arial" w:hint="default"/>
      </w:rPr>
    </w:lvl>
    <w:lvl w:ilvl="3" w:tplc="C278ECEC" w:tentative="1">
      <w:start w:val="1"/>
      <w:numFmt w:val="bullet"/>
      <w:lvlText w:val="–"/>
      <w:lvlJc w:val="left"/>
      <w:pPr>
        <w:tabs>
          <w:tab w:val="num" w:pos="2520"/>
        </w:tabs>
        <w:ind w:left="2520" w:hanging="360"/>
      </w:pPr>
      <w:rPr>
        <w:rFonts w:ascii="Arial" w:hAnsi="Arial" w:hint="default"/>
      </w:rPr>
    </w:lvl>
    <w:lvl w:ilvl="4" w:tplc="99E0BB66" w:tentative="1">
      <w:start w:val="1"/>
      <w:numFmt w:val="bullet"/>
      <w:lvlText w:val="–"/>
      <w:lvlJc w:val="left"/>
      <w:pPr>
        <w:tabs>
          <w:tab w:val="num" w:pos="3240"/>
        </w:tabs>
        <w:ind w:left="3240" w:hanging="360"/>
      </w:pPr>
      <w:rPr>
        <w:rFonts w:ascii="Arial" w:hAnsi="Arial" w:hint="default"/>
      </w:rPr>
    </w:lvl>
    <w:lvl w:ilvl="5" w:tplc="B894A316" w:tentative="1">
      <w:start w:val="1"/>
      <w:numFmt w:val="bullet"/>
      <w:lvlText w:val="–"/>
      <w:lvlJc w:val="left"/>
      <w:pPr>
        <w:tabs>
          <w:tab w:val="num" w:pos="3960"/>
        </w:tabs>
        <w:ind w:left="3960" w:hanging="360"/>
      </w:pPr>
      <w:rPr>
        <w:rFonts w:ascii="Arial" w:hAnsi="Arial" w:hint="default"/>
      </w:rPr>
    </w:lvl>
    <w:lvl w:ilvl="6" w:tplc="1F7897F6" w:tentative="1">
      <w:start w:val="1"/>
      <w:numFmt w:val="bullet"/>
      <w:lvlText w:val="–"/>
      <w:lvlJc w:val="left"/>
      <w:pPr>
        <w:tabs>
          <w:tab w:val="num" w:pos="4680"/>
        </w:tabs>
        <w:ind w:left="4680" w:hanging="360"/>
      </w:pPr>
      <w:rPr>
        <w:rFonts w:ascii="Arial" w:hAnsi="Arial" w:hint="default"/>
      </w:rPr>
    </w:lvl>
    <w:lvl w:ilvl="7" w:tplc="3B546148" w:tentative="1">
      <w:start w:val="1"/>
      <w:numFmt w:val="bullet"/>
      <w:lvlText w:val="–"/>
      <w:lvlJc w:val="left"/>
      <w:pPr>
        <w:tabs>
          <w:tab w:val="num" w:pos="5400"/>
        </w:tabs>
        <w:ind w:left="5400" w:hanging="360"/>
      </w:pPr>
      <w:rPr>
        <w:rFonts w:ascii="Arial" w:hAnsi="Arial" w:hint="default"/>
      </w:rPr>
    </w:lvl>
    <w:lvl w:ilvl="8" w:tplc="7A86D35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653A60"/>
    <w:multiLevelType w:val="hybridMultilevel"/>
    <w:tmpl w:val="48043C18"/>
    <w:lvl w:ilvl="0" w:tplc="D2BE84F8">
      <w:start w:val="1"/>
      <w:numFmt w:val="decimal"/>
      <w:lvlText w:val="%1."/>
      <w:lvlJc w:val="left"/>
      <w:pPr>
        <w:tabs>
          <w:tab w:val="num" w:pos="720"/>
        </w:tabs>
        <w:ind w:left="720" w:hanging="360"/>
      </w:pPr>
    </w:lvl>
    <w:lvl w:ilvl="1" w:tplc="7DD00316">
      <w:start w:val="174"/>
      <w:numFmt w:val="bullet"/>
      <w:lvlText w:val=""/>
      <w:lvlJc w:val="left"/>
      <w:pPr>
        <w:tabs>
          <w:tab w:val="num" w:pos="1440"/>
        </w:tabs>
        <w:ind w:left="1440" w:hanging="360"/>
      </w:pPr>
      <w:rPr>
        <w:rFonts w:ascii="Wingdings" w:hAnsi="Wingdings" w:hint="default"/>
      </w:rPr>
    </w:lvl>
    <w:lvl w:ilvl="2" w:tplc="BCE29D28" w:tentative="1">
      <w:start w:val="1"/>
      <w:numFmt w:val="decimal"/>
      <w:lvlText w:val="%3."/>
      <w:lvlJc w:val="left"/>
      <w:pPr>
        <w:tabs>
          <w:tab w:val="num" w:pos="2160"/>
        </w:tabs>
        <w:ind w:left="2160" w:hanging="360"/>
      </w:pPr>
    </w:lvl>
    <w:lvl w:ilvl="3" w:tplc="73E0E2A0" w:tentative="1">
      <w:start w:val="1"/>
      <w:numFmt w:val="decimal"/>
      <w:lvlText w:val="%4."/>
      <w:lvlJc w:val="left"/>
      <w:pPr>
        <w:tabs>
          <w:tab w:val="num" w:pos="2880"/>
        </w:tabs>
        <w:ind w:left="2880" w:hanging="360"/>
      </w:pPr>
    </w:lvl>
    <w:lvl w:ilvl="4" w:tplc="97A8984E" w:tentative="1">
      <w:start w:val="1"/>
      <w:numFmt w:val="decimal"/>
      <w:lvlText w:val="%5."/>
      <w:lvlJc w:val="left"/>
      <w:pPr>
        <w:tabs>
          <w:tab w:val="num" w:pos="3600"/>
        </w:tabs>
        <w:ind w:left="3600" w:hanging="360"/>
      </w:pPr>
    </w:lvl>
    <w:lvl w:ilvl="5" w:tplc="613497F8" w:tentative="1">
      <w:start w:val="1"/>
      <w:numFmt w:val="decimal"/>
      <w:lvlText w:val="%6."/>
      <w:lvlJc w:val="left"/>
      <w:pPr>
        <w:tabs>
          <w:tab w:val="num" w:pos="4320"/>
        </w:tabs>
        <w:ind w:left="4320" w:hanging="360"/>
      </w:pPr>
    </w:lvl>
    <w:lvl w:ilvl="6" w:tplc="A35A484A" w:tentative="1">
      <w:start w:val="1"/>
      <w:numFmt w:val="decimal"/>
      <w:lvlText w:val="%7."/>
      <w:lvlJc w:val="left"/>
      <w:pPr>
        <w:tabs>
          <w:tab w:val="num" w:pos="5040"/>
        </w:tabs>
        <w:ind w:left="5040" w:hanging="360"/>
      </w:pPr>
    </w:lvl>
    <w:lvl w:ilvl="7" w:tplc="931AD0F0" w:tentative="1">
      <w:start w:val="1"/>
      <w:numFmt w:val="decimal"/>
      <w:lvlText w:val="%8."/>
      <w:lvlJc w:val="left"/>
      <w:pPr>
        <w:tabs>
          <w:tab w:val="num" w:pos="5760"/>
        </w:tabs>
        <w:ind w:left="5760" w:hanging="360"/>
      </w:pPr>
    </w:lvl>
    <w:lvl w:ilvl="8" w:tplc="447E0060" w:tentative="1">
      <w:start w:val="1"/>
      <w:numFmt w:val="decimal"/>
      <w:lvlText w:val="%9."/>
      <w:lvlJc w:val="left"/>
      <w:pPr>
        <w:tabs>
          <w:tab w:val="num" w:pos="6480"/>
        </w:tabs>
        <w:ind w:left="6480" w:hanging="360"/>
      </w:pPr>
    </w:lvl>
  </w:abstractNum>
  <w:abstractNum w:abstractNumId="28"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DB35583"/>
    <w:multiLevelType w:val="hybridMultilevel"/>
    <w:tmpl w:val="74C63CE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2"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62DC8"/>
    <w:multiLevelType w:val="hybridMultilevel"/>
    <w:tmpl w:val="39F8621A"/>
    <w:lvl w:ilvl="0" w:tplc="069CE88C">
      <w:start w:val="1"/>
      <w:numFmt w:val="bullet"/>
      <w:lvlText w:val="•"/>
      <w:lvlJc w:val="left"/>
      <w:pPr>
        <w:tabs>
          <w:tab w:val="num" w:pos="720"/>
        </w:tabs>
        <w:ind w:left="720" w:hanging="360"/>
      </w:pPr>
      <w:rPr>
        <w:rFonts w:ascii="Arial" w:hAnsi="Arial" w:hint="default"/>
      </w:rPr>
    </w:lvl>
    <w:lvl w:ilvl="1" w:tplc="E2E02FEE">
      <w:start w:val="142"/>
      <w:numFmt w:val="bullet"/>
      <w:lvlText w:val="–"/>
      <w:lvlJc w:val="left"/>
      <w:pPr>
        <w:tabs>
          <w:tab w:val="num" w:pos="1440"/>
        </w:tabs>
        <w:ind w:left="1440" w:hanging="360"/>
      </w:pPr>
      <w:rPr>
        <w:rFonts w:ascii="Arial" w:hAnsi="Arial" w:hint="default"/>
      </w:rPr>
    </w:lvl>
    <w:lvl w:ilvl="2" w:tplc="3640C4F2" w:tentative="1">
      <w:start w:val="1"/>
      <w:numFmt w:val="bullet"/>
      <w:lvlText w:val="•"/>
      <w:lvlJc w:val="left"/>
      <w:pPr>
        <w:tabs>
          <w:tab w:val="num" w:pos="2160"/>
        </w:tabs>
        <w:ind w:left="2160" w:hanging="360"/>
      </w:pPr>
      <w:rPr>
        <w:rFonts w:ascii="Arial" w:hAnsi="Arial" w:hint="default"/>
      </w:rPr>
    </w:lvl>
    <w:lvl w:ilvl="3" w:tplc="2130AC16" w:tentative="1">
      <w:start w:val="1"/>
      <w:numFmt w:val="bullet"/>
      <w:lvlText w:val="•"/>
      <w:lvlJc w:val="left"/>
      <w:pPr>
        <w:tabs>
          <w:tab w:val="num" w:pos="2880"/>
        </w:tabs>
        <w:ind w:left="2880" w:hanging="360"/>
      </w:pPr>
      <w:rPr>
        <w:rFonts w:ascii="Arial" w:hAnsi="Arial" w:hint="default"/>
      </w:rPr>
    </w:lvl>
    <w:lvl w:ilvl="4" w:tplc="54D00232" w:tentative="1">
      <w:start w:val="1"/>
      <w:numFmt w:val="bullet"/>
      <w:lvlText w:val="•"/>
      <w:lvlJc w:val="left"/>
      <w:pPr>
        <w:tabs>
          <w:tab w:val="num" w:pos="3600"/>
        </w:tabs>
        <w:ind w:left="3600" w:hanging="360"/>
      </w:pPr>
      <w:rPr>
        <w:rFonts w:ascii="Arial" w:hAnsi="Arial" w:hint="default"/>
      </w:rPr>
    </w:lvl>
    <w:lvl w:ilvl="5" w:tplc="B512E7C8" w:tentative="1">
      <w:start w:val="1"/>
      <w:numFmt w:val="bullet"/>
      <w:lvlText w:val="•"/>
      <w:lvlJc w:val="left"/>
      <w:pPr>
        <w:tabs>
          <w:tab w:val="num" w:pos="4320"/>
        </w:tabs>
        <w:ind w:left="4320" w:hanging="360"/>
      </w:pPr>
      <w:rPr>
        <w:rFonts w:ascii="Arial" w:hAnsi="Arial" w:hint="default"/>
      </w:rPr>
    </w:lvl>
    <w:lvl w:ilvl="6" w:tplc="A17EDADE" w:tentative="1">
      <w:start w:val="1"/>
      <w:numFmt w:val="bullet"/>
      <w:lvlText w:val="•"/>
      <w:lvlJc w:val="left"/>
      <w:pPr>
        <w:tabs>
          <w:tab w:val="num" w:pos="5040"/>
        </w:tabs>
        <w:ind w:left="5040" w:hanging="360"/>
      </w:pPr>
      <w:rPr>
        <w:rFonts w:ascii="Arial" w:hAnsi="Arial" w:hint="default"/>
      </w:rPr>
    </w:lvl>
    <w:lvl w:ilvl="7" w:tplc="1D92E3DC" w:tentative="1">
      <w:start w:val="1"/>
      <w:numFmt w:val="bullet"/>
      <w:lvlText w:val="•"/>
      <w:lvlJc w:val="left"/>
      <w:pPr>
        <w:tabs>
          <w:tab w:val="num" w:pos="5760"/>
        </w:tabs>
        <w:ind w:left="5760" w:hanging="360"/>
      </w:pPr>
      <w:rPr>
        <w:rFonts w:ascii="Arial" w:hAnsi="Arial" w:hint="default"/>
      </w:rPr>
    </w:lvl>
    <w:lvl w:ilvl="8" w:tplc="210C1D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87086"/>
    <w:multiLevelType w:val="hybridMultilevel"/>
    <w:tmpl w:val="29D06E6A"/>
    <w:lvl w:ilvl="0" w:tplc="658E81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38"/>
  </w:num>
  <w:num w:numId="4">
    <w:abstractNumId w:val="44"/>
  </w:num>
  <w:num w:numId="5">
    <w:abstractNumId w:val="30"/>
  </w:num>
  <w:num w:numId="6">
    <w:abstractNumId w:val="17"/>
  </w:num>
  <w:num w:numId="7">
    <w:abstractNumId w:val="8"/>
  </w:num>
  <w:num w:numId="8">
    <w:abstractNumId w:val="36"/>
  </w:num>
  <w:num w:numId="9">
    <w:abstractNumId w:val="19"/>
  </w:num>
  <w:num w:numId="10">
    <w:abstractNumId w:val="26"/>
  </w:num>
  <w:num w:numId="11">
    <w:abstractNumId w:val="46"/>
  </w:num>
  <w:num w:numId="12">
    <w:abstractNumId w:val="7"/>
  </w:num>
  <w:num w:numId="13">
    <w:abstractNumId w:val="6"/>
  </w:num>
  <w:num w:numId="14">
    <w:abstractNumId w:val="21"/>
  </w:num>
  <w:num w:numId="15">
    <w:abstractNumId w:val="25"/>
  </w:num>
  <w:num w:numId="16">
    <w:abstractNumId w:val="13"/>
  </w:num>
  <w:num w:numId="17">
    <w:abstractNumId w:val="42"/>
  </w:num>
  <w:num w:numId="18">
    <w:abstractNumId w:val="18"/>
  </w:num>
  <w:num w:numId="19">
    <w:abstractNumId w:val="2"/>
  </w:num>
  <w:num w:numId="20">
    <w:abstractNumId w:val="12"/>
  </w:num>
  <w:num w:numId="21">
    <w:abstractNumId w:val="14"/>
  </w:num>
  <w:num w:numId="22">
    <w:abstractNumId w:val="3"/>
  </w:num>
  <w:num w:numId="23">
    <w:abstractNumId w:val="11"/>
  </w:num>
  <w:num w:numId="24">
    <w:abstractNumId w:val="15"/>
  </w:num>
  <w:num w:numId="25">
    <w:abstractNumId w:val="37"/>
  </w:num>
  <w:num w:numId="26">
    <w:abstractNumId w:val="20"/>
  </w:num>
  <w:num w:numId="27">
    <w:abstractNumId w:val="40"/>
  </w:num>
  <w:num w:numId="28">
    <w:abstractNumId w:val="32"/>
  </w:num>
  <w:num w:numId="29">
    <w:abstractNumId w:val="5"/>
  </w:num>
  <w:num w:numId="30">
    <w:abstractNumId w:val="29"/>
  </w:num>
  <w:num w:numId="31">
    <w:abstractNumId w:val="10"/>
  </w:num>
  <w:num w:numId="32">
    <w:abstractNumId w:val="28"/>
  </w:num>
  <w:num w:numId="33">
    <w:abstractNumId w:val="35"/>
  </w:num>
  <w:num w:numId="34">
    <w:abstractNumId w:val="9"/>
  </w:num>
  <w:num w:numId="35">
    <w:abstractNumId w:val="2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39"/>
  </w:num>
  <w:num w:numId="39">
    <w:abstractNumId w:val="1"/>
  </w:num>
  <w:num w:numId="40">
    <w:abstractNumId w:val="4"/>
  </w:num>
  <w:num w:numId="41">
    <w:abstractNumId w:val="43"/>
  </w:num>
  <w:num w:numId="42">
    <w:abstractNumId w:val="34"/>
  </w:num>
  <w:num w:numId="43">
    <w:abstractNumId w:val="16"/>
  </w:num>
  <w:num w:numId="44">
    <w:abstractNumId w:val="41"/>
  </w:num>
  <w:num w:numId="45">
    <w:abstractNumId w:val="31"/>
  </w:num>
  <w:num w:numId="46">
    <w:abstractNumId w:val="27"/>
  </w:num>
  <w:num w:numId="47">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2B2"/>
    <w:rsid w:val="000123B3"/>
    <w:rsid w:val="00012B14"/>
    <w:rsid w:val="000138F3"/>
    <w:rsid w:val="00013A12"/>
    <w:rsid w:val="0001409E"/>
    <w:rsid w:val="000142DE"/>
    <w:rsid w:val="0001465F"/>
    <w:rsid w:val="00014E79"/>
    <w:rsid w:val="00014FFF"/>
    <w:rsid w:val="000162FA"/>
    <w:rsid w:val="0001656C"/>
    <w:rsid w:val="000167F5"/>
    <w:rsid w:val="00016A3A"/>
    <w:rsid w:val="00016D5E"/>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3FF"/>
    <w:rsid w:val="000446FD"/>
    <w:rsid w:val="0004511D"/>
    <w:rsid w:val="00045318"/>
    <w:rsid w:val="00045774"/>
    <w:rsid w:val="00045F53"/>
    <w:rsid w:val="00046069"/>
    <w:rsid w:val="0004795F"/>
    <w:rsid w:val="00047A40"/>
    <w:rsid w:val="00047BD8"/>
    <w:rsid w:val="00051030"/>
    <w:rsid w:val="00052BBE"/>
    <w:rsid w:val="00053393"/>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7E0"/>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1CDB"/>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17D"/>
    <w:rsid w:val="0013754C"/>
    <w:rsid w:val="00141051"/>
    <w:rsid w:val="00142046"/>
    <w:rsid w:val="0014223E"/>
    <w:rsid w:val="00142612"/>
    <w:rsid w:val="001430CD"/>
    <w:rsid w:val="00144026"/>
    <w:rsid w:val="00144095"/>
    <w:rsid w:val="001445CF"/>
    <w:rsid w:val="00144853"/>
    <w:rsid w:val="00144E1D"/>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3F44"/>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671"/>
    <w:rsid w:val="001F786D"/>
    <w:rsid w:val="001F7D63"/>
    <w:rsid w:val="00200D15"/>
    <w:rsid w:val="002019FF"/>
    <w:rsid w:val="00201CA6"/>
    <w:rsid w:val="00201E1D"/>
    <w:rsid w:val="0020242B"/>
    <w:rsid w:val="0020451B"/>
    <w:rsid w:val="00205462"/>
    <w:rsid w:val="00205A5F"/>
    <w:rsid w:val="00205AAE"/>
    <w:rsid w:val="002060E3"/>
    <w:rsid w:val="00206B59"/>
    <w:rsid w:val="00206D86"/>
    <w:rsid w:val="002076F3"/>
    <w:rsid w:val="00207A4A"/>
    <w:rsid w:val="00210570"/>
    <w:rsid w:val="0021083C"/>
    <w:rsid w:val="0021093C"/>
    <w:rsid w:val="00210AC9"/>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395"/>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2E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51C5"/>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51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3AC3"/>
    <w:rsid w:val="003D4A8E"/>
    <w:rsid w:val="003D6C47"/>
    <w:rsid w:val="003D6F0B"/>
    <w:rsid w:val="003D7142"/>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40B7"/>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AFF"/>
    <w:rsid w:val="004813E4"/>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07C"/>
    <w:rsid w:val="005167E8"/>
    <w:rsid w:val="00517B05"/>
    <w:rsid w:val="00521297"/>
    <w:rsid w:val="00524D75"/>
    <w:rsid w:val="005250F6"/>
    <w:rsid w:val="00525E31"/>
    <w:rsid w:val="005262F0"/>
    <w:rsid w:val="00526347"/>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D11"/>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1B2"/>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2F5C"/>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54CF"/>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430D"/>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273E3"/>
    <w:rsid w:val="00730403"/>
    <w:rsid w:val="00731D02"/>
    <w:rsid w:val="007326A5"/>
    <w:rsid w:val="00732840"/>
    <w:rsid w:val="0073334B"/>
    <w:rsid w:val="0073413D"/>
    <w:rsid w:val="0073419D"/>
    <w:rsid w:val="00734F83"/>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973"/>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5462"/>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5CD7"/>
    <w:rsid w:val="008A7D0D"/>
    <w:rsid w:val="008A7E55"/>
    <w:rsid w:val="008B00E3"/>
    <w:rsid w:val="008B0F95"/>
    <w:rsid w:val="008B13DF"/>
    <w:rsid w:val="008B1C49"/>
    <w:rsid w:val="008B1ED0"/>
    <w:rsid w:val="008B356B"/>
    <w:rsid w:val="008B3ED7"/>
    <w:rsid w:val="008B4239"/>
    <w:rsid w:val="008B4E9B"/>
    <w:rsid w:val="008B5ED3"/>
    <w:rsid w:val="008B61A2"/>
    <w:rsid w:val="008B6364"/>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4C00"/>
    <w:rsid w:val="008D59F7"/>
    <w:rsid w:val="008D5A2D"/>
    <w:rsid w:val="008D7109"/>
    <w:rsid w:val="008D78B7"/>
    <w:rsid w:val="008E0739"/>
    <w:rsid w:val="008E1130"/>
    <w:rsid w:val="008E2080"/>
    <w:rsid w:val="008E2C29"/>
    <w:rsid w:val="008E2C91"/>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1B12"/>
    <w:rsid w:val="0090247D"/>
    <w:rsid w:val="00902497"/>
    <w:rsid w:val="00903D25"/>
    <w:rsid w:val="00903EC0"/>
    <w:rsid w:val="009042F2"/>
    <w:rsid w:val="00904CAB"/>
    <w:rsid w:val="009050B8"/>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171"/>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0B8E"/>
    <w:rsid w:val="00A429AA"/>
    <w:rsid w:val="00A43127"/>
    <w:rsid w:val="00A431F8"/>
    <w:rsid w:val="00A43200"/>
    <w:rsid w:val="00A43791"/>
    <w:rsid w:val="00A44F91"/>
    <w:rsid w:val="00A45827"/>
    <w:rsid w:val="00A461BE"/>
    <w:rsid w:val="00A473E2"/>
    <w:rsid w:val="00A4745D"/>
    <w:rsid w:val="00A5032F"/>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97EB8"/>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1E1"/>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76"/>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DD5"/>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4273"/>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2BEC"/>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B7E"/>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637"/>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457"/>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58"/>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81"/>
    <w:rsid w:val="00D17CAE"/>
    <w:rsid w:val="00D200D5"/>
    <w:rsid w:val="00D205FA"/>
    <w:rsid w:val="00D20AC1"/>
    <w:rsid w:val="00D21232"/>
    <w:rsid w:val="00D21CA2"/>
    <w:rsid w:val="00D21D17"/>
    <w:rsid w:val="00D22E7A"/>
    <w:rsid w:val="00D23643"/>
    <w:rsid w:val="00D24D18"/>
    <w:rsid w:val="00D26312"/>
    <w:rsid w:val="00D26419"/>
    <w:rsid w:val="00D26BA2"/>
    <w:rsid w:val="00D273DE"/>
    <w:rsid w:val="00D27787"/>
    <w:rsid w:val="00D31226"/>
    <w:rsid w:val="00D31FEA"/>
    <w:rsid w:val="00D3265C"/>
    <w:rsid w:val="00D32F25"/>
    <w:rsid w:val="00D33802"/>
    <w:rsid w:val="00D338E1"/>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483C"/>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0F6F"/>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13D"/>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35B"/>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BDC"/>
    <w:rsid w:val="00ED5C02"/>
    <w:rsid w:val="00ED67BD"/>
    <w:rsid w:val="00ED73BB"/>
    <w:rsid w:val="00EE076E"/>
    <w:rsid w:val="00EE07FF"/>
    <w:rsid w:val="00EE0950"/>
    <w:rsid w:val="00EE1502"/>
    <w:rsid w:val="00EE249C"/>
    <w:rsid w:val="00EE38E7"/>
    <w:rsid w:val="00EE5452"/>
    <w:rsid w:val="00EE5ABD"/>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298"/>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66D6"/>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26AD"/>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49D"/>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41"/>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42053359">
      <w:bodyDiv w:val="1"/>
      <w:marLeft w:val="0"/>
      <w:marRight w:val="0"/>
      <w:marTop w:val="0"/>
      <w:marBottom w:val="0"/>
      <w:divBdr>
        <w:top w:val="none" w:sz="0" w:space="0" w:color="auto"/>
        <w:left w:val="none" w:sz="0" w:space="0" w:color="auto"/>
        <w:bottom w:val="none" w:sz="0" w:space="0" w:color="auto"/>
        <w:right w:val="none" w:sz="0" w:space="0" w:color="auto"/>
      </w:divBdr>
      <w:divsChild>
        <w:div w:id="647786040">
          <w:marLeft w:val="1166"/>
          <w:marRight w:val="0"/>
          <w:marTop w:val="96"/>
          <w:marBottom w:val="0"/>
          <w:divBdr>
            <w:top w:val="none" w:sz="0" w:space="0" w:color="auto"/>
            <w:left w:val="none" w:sz="0" w:space="0" w:color="auto"/>
            <w:bottom w:val="none" w:sz="0" w:space="0" w:color="auto"/>
            <w:right w:val="none" w:sz="0" w:space="0" w:color="auto"/>
          </w:divBdr>
        </w:div>
        <w:div w:id="218787555">
          <w:marLeft w:val="1800"/>
          <w:marRight w:val="0"/>
          <w:marTop w:val="77"/>
          <w:marBottom w:val="0"/>
          <w:divBdr>
            <w:top w:val="none" w:sz="0" w:space="0" w:color="auto"/>
            <w:left w:val="none" w:sz="0" w:space="0" w:color="auto"/>
            <w:bottom w:val="none" w:sz="0" w:space="0" w:color="auto"/>
            <w:right w:val="none" w:sz="0" w:space="0" w:color="auto"/>
          </w:divBdr>
        </w:div>
        <w:div w:id="520245718">
          <w:marLeft w:val="1800"/>
          <w:marRight w:val="0"/>
          <w:marTop w:val="77"/>
          <w:marBottom w:val="0"/>
          <w:divBdr>
            <w:top w:val="none" w:sz="0" w:space="0" w:color="auto"/>
            <w:left w:val="none" w:sz="0" w:space="0" w:color="auto"/>
            <w:bottom w:val="none" w:sz="0" w:space="0" w:color="auto"/>
            <w:right w:val="none" w:sz="0" w:space="0" w:color="auto"/>
          </w:divBdr>
        </w:div>
      </w:divsChild>
    </w:div>
    <w:div w:id="34362871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456207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4221288">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4001354">
      <w:bodyDiv w:val="1"/>
      <w:marLeft w:val="0"/>
      <w:marRight w:val="0"/>
      <w:marTop w:val="0"/>
      <w:marBottom w:val="0"/>
      <w:divBdr>
        <w:top w:val="none" w:sz="0" w:space="0" w:color="auto"/>
        <w:left w:val="none" w:sz="0" w:space="0" w:color="auto"/>
        <w:bottom w:val="none" w:sz="0" w:space="0" w:color="auto"/>
        <w:right w:val="none" w:sz="0" w:space="0" w:color="auto"/>
      </w:divBdr>
      <w:divsChild>
        <w:div w:id="2046904745">
          <w:marLeft w:val="634"/>
          <w:marRight w:val="0"/>
          <w:marTop w:val="96"/>
          <w:marBottom w:val="0"/>
          <w:divBdr>
            <w:top w:val="none" w:sz="0" w:space="0" w:color="auto"/>
            <w:left w:val="none" w:sz="0" w:space="0" w:color="auto"/>
            <w:bottom w:val="none" w:sz="0" w:space="0" w:color="auto"/>
            <w:right w:val="none" w:sz="0" w:space="0" w:color="auto"/>
          </w:divBdr>
        </w:div>
        <w:div w:id="611128528">
          <w:marLeft w:val="634"/>
          <w:marRight w:val="0"/>
          <w:marTop w:val="96"/>
          <w:marBottom w:val="0"/>
          <w:divBdr>
            <w:top w:val="none" w:sz="0" w:space="0" w:color="auto"/>
            <w:left w:val="none" w:sz="0" w:space="0" w:color="auto"/>
            <w:bottom w:val="none" w:sz="0" w:space="0" w:color="auto"/>
            <w:right w:val="none" w:sz="0" w:space="0" w:color="auto"/>
          </w:divBdr>
        </w:div>
        <w:div w:id="922882518">
          <w:marLeft w:val="1267"/>
          <w:marRight w:val="0"/>
          <w:marTop w:val="77"/>
          <w:marBottom w:val="0"/>
          <w:divBdr>
            <w:top w:val="none" w:sz="0" w:space="0" w:color="auto"/>
            <w:left w:val="none" w:sz="0" w:space="0" w:color="auto"/>
            <w:bottom w:val="none" w:sz="0" w:space="0" w:color="auto"/>
            <w:right w:val="none" w:sz="0" w:space="0" w:color="auto"/>
          </w:divBdr>
        </w:div>
        <w:div w:id="41491805">
          <w:marLeft w:val="1267"/>
          <w:marRight w:val="0"/>
          <w:marTop w:val="77"/>
          <w:marBottom w:val="0"/>
          <w:divBdr>
            <w:top w:val="none" w:sz="0" w:space="0" w:color="auto"/>
            <w:left w:val="none" w:sz="0" w:space="0" w:color="auto"/>
            <w:bottom w:val="none" w:sz="0" w:space="0" w:color="auto"/>
            <w:right w:val="none" w:sz="0" w:space="0" w:color="auto"/>
          </w:divBdr>
        </w:div>
        <w:div w:id="638341958">
          <w:marLeft w:val="1267"/>
          <w:marRight w:val="0"/>
          <w:marTop w:val="77"/>
          <w:marBottom w:val="0"/>
          <w:divBdr>
            <w:top w:val="none" w:sz="0" w:space="0" w:color="auto"/>
            <w:left w:val="none" w:sz="0" w:space="0" w:color="auto"/>
            <w:bottom w:val="none" w:sz="0" w:space="0" w:color="auto"/>
            <w:right w:val="none" w:sz="0" w:space="0" w:color="auto"/>
          </w:divBdr>
        </w:div>
        <w:div w:id="1477992985">
          <w:marLeft w:val="634"/>
          <w:marRight w:val="0"/>
          <w:marTop w:val="96"/>
          <w:marBottom w:val="0"/>
          <w:divBdr>
            <w:top w:val="none" w:sz="0" w:space="0" w:color="auto"/>
            <w:left w:val="none" w:sz="0" w:space="0" w:color="auto"/>
            <w:bottom w:val="none" w:sz="0" w:space="0" w:color="auto"/>
            <w:right w:val="none" w:sz="0" w:space="0" w:color="auto"/>
          </w:divBdr>
        </w:div>
        <w:div w:id="1185821658">
          <w:marLeft w:val="634"/>
          <w:marRight w:val="0"/>
          <w:marTop w:val="96"/>
          <w:marBottom w:val="0"/>
          <w:divBdr>
            <w:top w:val="none" w:sz="0" w:space="0" w:color="auto"/>
            <w:left w:val="none" w:sz="0" w:space="0" w:color="auto"/>
            <w:bottom w:val="none" w:sz="0" w:space="0" w:color="auto"/>
            <w:right w:val="none" w:sz="0" w:space="0" w:color="auto"/>
          </w:divBdr>
        </w:div>
      </w:divsChild>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0497989">
      <w:bodyDiv w:val="1"/>
      <w:marLeft w:val="0"/>
      <w:marRight w:val="0"/>
      <w:marTop w:val="0"/>
      <w:marBottom w:val="0"/>
      <w:divBdr>
        <w:top w:val="none" w:sz="0" w:space="0" w:color="auto"/>
        <w:left w:val="none" w:sz="0" w:space="0" w:color="auto"/>
        <w:bottom w:val="none" w:sz="0" w:space="0" w:color="auto"/>
        <w:right w:val="none" w:sz="0" w:space="0" w:color="auto"/>
      </w:divBdr>
      <w:divsChild>
        <w:div w:id="1631981536">
          <w:marLeft w:val="547"/>
          <w:marRight w:val="0"/>
          <w:marTop w:val="115"/>
          <w:marBottom w:val="0"/>
          <w:divBdr>
            <w:top w:val="none" w:sz="0" w:space="0" w:color="auto"/>
            <w:left w:val="none" w:sz="0" w:space="0" w:color="auto"/>
            <w:bottom w:val="none" w:sz="0" w:space="0" w:color="auto"/>
            <w:right w:val="none" w:sz="0" w:space="0" w:color="auto"/>
          </w:divBdr>
        </w:div>
        <w:div w:id="1386299432">
          <w:marLeft w:val="1080"/>
          <w:marRight w:val="0"/>
          <w:marTop w:val="96"/>
          <w:marBottom w:val="0"/>
          <w:divBdr>
            <w:top w:val="none" w:sz="0" w:space="0" w:color="auto"/>
            <w:left w:val="none" w:sz="0" w:space="0" w:color="auto"/>
            <w:bottom w:val="none" w:sz="0" w:space="0" w:color="auto"/>
            <w:right w:val="none" w:sz="0" w:space="0" w:color="auto"/>
          </w:divBdr>
        </w:div>
        <w:div w:id="1610699971">
          <w:marLeft w:val="1080"/>
          <w:marRight w:val="0"/>
          <w:marTop w:val="96"/>
          <w:marBottom w:val="0"/>
          <w:divBdr>
            <w:top w:val="none" w:sz="0" w:space="0" w:color="auto"/>
            <w:left w:val="none" w:sz="0" w:space="0" w:color="auto"/>
            <w:bottom w:val="none" w:sz="0" w:space="0" w:color="auto"/>
            <w:right w:val="none" w:sz="0" w:space="0" w:color="auto"/>
          </w:divBdr>
        </w:div>
      </w:divsChild>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DAA3275-4EFE-4588-89D5-E0273A72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Marco Papaleo</cp:lastModifiedBy>
  <cp:revision>7</cp:revision>
  <cp:lastPrinted>2018-04-05T14:47:00Z</cp:lastPrinted>
  <dcterms:created xsi:type="dcterms:W3CDTF">2018-05-14T20:07:00Z</dcterms:created>
  <dcterms:modified xsi:type="dcterms:W3CDTF">2018-05-14T21:35:00Z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